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点击此处添加ICS号</w:t>
      </w:r>
      <w:r>
        <w:fldChar w:fldCharType="end"/>
      </w:r>
      <w:bookmarkEnd w:id="0"/>
    </w:p>
    <w:p>
      <w:pPr>
        <w:pStyle w:val="117"/>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06" w:type="dxa"/>
            <w:tcBorders>
              <w:top w:val="nil"/>
              <w:left w:val="nil"/>
              <w:bottom w:val="nil"/>
              <w:right w:val="nil"/>
            </w:tcBorders>
            <w:noWrap w:val="0"/>
            <w:vAlign w:val="top"/>
          </w:tcPr>
          <w:p>
            <w:pPr>
              <w:pStyle w:val="117"/>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77"/>
        <w:framePr w:w="6288" w:h="766" w:hRule="exact" w:vAnchor="page" w:hAnchor="page" w:x="4770" w:y="1501"/>
        <w:rPr>
          <w:sz w:val="56"/>
        </w:rPr>
      </w:pPr>
      <w:r>
        <w:rPr>
          <w:rFonts w:hint="eastAsia"/>
          <w:sz w:val="56"/>
        </w:rPr>
        <w:t>T/CFLP</w:t>
      </w:r>
    </w:p>
    <w:p>
      <w:pPr>
        <w:pStyle w:val="108"/>
      </w:pPr>
      <w:r>
        <w:rPr>
          <w:rFonts w:hint="eastAsia"/>
        </w:rPr>
        <w:t>中国物流与采购联合会团体标准</w:t>
      </w:r>
    </w:p>
    <w:p>
      <w:pPr>
        <w:pStyle w:val="51"/>
        <w:rPr>
          <w:rFonts w:hAnsi="黑体"/>
        </w:rPr>
      </w:pPr>
      <w:r>
        <w:rPr>
          <w:rFonts w:hint="eastAsia" w:ascii="Times New Roman"/>
        </w:rPr>
        <w:t>T/CFLP</w:t>
      </w:r>
      <w:r>
        <w:rPr>
          <w:rFonts w:ascii="Times New Roman"/>
        </w:rPr>
        <w:t xml:space="preserve"> </w:t>
      </w:r>
      <w:bookmarkStart w:id="3"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3"/>
      <w:r>
        <w:rPr>
          <w:rFonts w:hAnsi="黑体"/>
        </w:rPr>
        <w:t>—</w:t>
      </w:r>
      <w:bookmarkStart w:id="4"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4"/>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88"/>
            </w:pPr>
            <w:bookmarkStart w:id="5" w:name="DT"/>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Dyy9YAAAAIAQAADwAAAAAAAAABACAAAAAiAAAAZHJzL2Rvd25y&#10;ZXYueG1sUEsBAhQAFAAAAAgAh07iQP00wu6OAQAAGQMAAA4AAAAAAAAAAQAgAAAAJQEAAGRycy9l&#10;Mm9Eb2MueG1sUEsFBgAAAAAGAAYAWQEAACUFA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5"/>
          </w:p>
        </w:tc>
      </w:tr>
    </w:tbl>
    <w:p>
      <w:pPr>
        <w:pStyle w:val="51"/>
        <w:rPr>
          <w:rFonts w:hAnsi="黑体"/>
        </w:rPr>
      </w:pPr>
    </w:p>
    <w:p>
      <w:pPr>
        <w:pStyle w:val="51"/>
        <w:rPr>
          <w:rFonts w:hAnsi="黑体"/>
        </w:rPr>
      </w:pPr>
    </w:p>
    <w:p>
      <w:pPr>
        <w:pStyle w:val="91"/>
      </w:pPr>
      <w:bookmarkStart w:id="6" w:name="StdEnglishName"/>
      <w:r>
        <w:rPr>
          <w:rFonts w:hint="eastAsia" w:hAnsi="黑体"/>
        </w:rPr>
        <w:t>公共采购电子商务平台交易操作规范</w:t>
      </w:r>
    </w:p>
    <w:bookmarkEnd w:id="6"/>
    <w:p>
      <w:pPr>
        <w:pStyle w:val="92"/>
      </w:pPr>
      <w:bookmarkStart w:id="7" w:name="YZBS"/>
      <w:r>
        <w:rPr>
          <w:rFonts w:hint="eastAsia"/>
        </w:rPr>
        <w:t>State-owned enterprises trading operation specifications</w:t>
      </w:r>
    </w:p>
    <w:bookmarkEnd w:id="7"/>
    <w:p>
      <w:pPr>
        <w:pStyle w:val="94"/>
      </w:pPr>
    </w:p>
    <w:p>
      <w:pPr>
        <w:pStyle w:val="124"/>
      </w:pPr>
      <w:r>
        <w:rPr>
          <w:rFonts w:hint="eastAsia" w:ascii="黑体"/>
        </w:rPr>
        <w:t>2020</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8"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-243205</wp:posOffset>
                </wp:positionH>
                <wp:positionV relativeFrom="page">
                  <wp:posOffset>9251950</wp:posOffset>
                </wp:positionV>
                <wp:extent cx="6120130" cy="0"/>
                <wp:effectExtent l="0" t="0" r="0" b="0"/>
                <wp:wrapNone/>
                <wp:docPr id="4" name="直线 1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19.15pt;margin-top:728.5pt;height:0pt;width:481.9pt;mso-position-vertical-relative:page;z-index:251661312;mso-width-relative:page;mso-height-relative:page;" filled="f" stroked="t" coordsize="21600,21600" o:gfxdata="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Jb269gAAAANAQAADwAAAAAAAAABACAAAAAiAAAA&#10;ZHJzL2Rvd25yZXYueG1sUEsBAhQAFAAAAAgAh07iQBbKXpDOAQAAjgMAAA4AAAAAAAAAAQAgAAAA&#10;JwEAAGRycy9lMm9Eb2MueG1sUEsFBgAAAAAGAAYAWQEAAGcFAAAAAA==&#10;">
                <v:fill on="f" focussize="0,0"/>
                <v:stroke color="#000000" joinstyle="round"/>
                <v:imagedata o:title=""/>
                <o:lock v:ext="edit" aspectratio="f"/>
                <w10:anchorlock/>
              </v:line>
            </w:pict>
          </mc:Fallback>
        </mc:AlternateContent>
      </w:r>
    </w:p>
    <w:p>
      <w:pPr>
        <w:pStyle w:val="125"/>
      </w:pPr>
      <w:r>
        <w:rPr>
          <w:rFonts w:hint="eastAsia" w:ascii="黑体"/>
        </w:rPr>
        <w:t>2020</w:t>
      </w:r>
      <w:r>
        <w:t xml:space="preserve"> </w:t>
      </w:r>
      <w:r>
        <w:rPr>
          <w:rFonts w:ascii="黑体"/>
        </w:rPr>
        <w:t>-</w:t>
      </w:r>
      <w:r>
        <w:t xml:space="preserve"> </w:t>
      </w:r>
      <w:r>
        <w:rPr>
          <w:rFonts w:hint="eastAsia" w:ascii="黑体"/>
        </w:rPr>
        <w:t>07</w:t>
      </w:r>
      <w:r>
        <w:t xml:space="preserve"> </w:t>
      </w:r>
      <w:r>
        <w:rPr>
          <w:rFonts w:ascii="黑体"/>
        </w:rPr>
        <w:t>-</w:t>
      </w:r>
      <w:r>
        <w:t xml:space="preserve"> </w:t>
      </w:r>
      <w:r>
        <w:rPr>
          <w:rFonts w:hint="eastAsia" w:ascii="黑体"/>
        </w:rPr>
        <w:t>01</w:t>
      </w:r>
      <w:r>
        <w:rPr>
          <w:rFonts w:hint="eastAsia"/>
        </w:rPr>
        <w:t>实施</w:t>
      </w:r>
    </w:p>
    <w:p>
      <w:pPr>
        <w:pStyle w:val="79"/>
      </w:pPr>
      <w:r>
        <w:rPr>
          <w:rFonts w:hint="eastAsia"/>
        </w:rPr>
        <w:t>中国物流与采购联合会</w:t>
      </w:r>
      <w:r>
        <w:rPr>
          <w:rFonts w:hint="eastAsia" w:ascii="MS Mincho" w:hAnsi="MS Mincho" w:eastAsia="MS Mincho" w:cs="MS Mincho"/>
        </w:rPr>
        <w:t>   </w:t>
      </w:r>
      <w:r>
        <w:rPr>
          <w:rStyle w:val="133"/>
          <w:rFonts w:hint="eastAsia"/>
        </w:rPr>
        <w:t>发布</w:t>
      </w:r>
    </w:p>
    <w:p>
      <w:pPr>
        <w:pStyle w:val="22"/>
        <w:sectPr>
          <w:pgSz w:w="12240" w:h="15840"/>
          <w:pgMar w:top="567" w:right="850" w:bottom="1440" w:left="1800" w:header="0" w:footer="0" w:gutter="0"/>
          <w:cols w:space="720" w:num="1"/>
          <w:docGrid w:linePitch="286" w:charSpace="0"/>
        </w:sectPr>
      </w:pPr>
      <w:r>
        <mc:AlternateContent>
          <mc:Choice Requires="wps">
            <w:drawing>
              <wp:anchor distT="0" distB="0" distL="114300" distR="114300" simplePos="0" relativeHeight="251659264" behindDoc="1" locked="0" layoutInCell="1" allowOverlap="1">
                <wp:simplePos x="0" y="0"/>
                <wp:positionH relativeFrom="column">
                  <wp:posOffset>-309245</wp:posOffset>
                </wp:positionH>
                <wp:positionV relativeFrom="paragraph">
                  <wp:posOffset>396240</wp:posOffset>
                </wp:positionV>
                <wp:extent cx="866775" cy="198120"/>
                <wp:effectExtent l="0" t="0" r="9525" b="1143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24.35pt;margin-top:31.2pt;height:15.6pt;width:68.25pt;z-index:-251657216;mso-width-relative:page;mso-height-relative:page;" fillcolor="#FFFFFF" filled="t" stroked="f" coordsize="21600,21600" o:gfxdata="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KsA7XAAAACAEAAA8AAAAAAAAAAQAgAAAAIgAAAGRy&#10;cy9kb3ducmV2LnhtbFBLAQIUABQAAAAIAIdO4kB4R8FAlAEAABkDAAAOAAAAAAAAAAEAIAAAACYB&#10;AABkcnMvZTJvRG9jLnhtbFBLBQYAAAAABgAGAFkBAAAsBQAAAAA=&#10;">
                <v:fill on="t" focussize="0,0"/>
                <v:stroke on="f"/>
                <v:imagedata o:title=""/>
                <o:lock v:ext="edit" aspectratio="f"/>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-243205</wp:posOffset>
                </wp:positionH>
                <wp:positionV relativeFrom="paragraph">
                  <wp:posOffset>2339975</wp:posOffset>
                </wp:positionV>
                <wp:extent cx="6120130" cy="0"/>
                <wp:effectExtent l="0" t="0" r="0" b="0"/>
                <wp:wrapNone/>
                <wp:docPr id="5" name="直线 1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19.15pt;margin-top:184.25pt;height:0pt;width:481.9pt;z-index:251662336;mso-width-relative:page;mso-height-relative:page;" filled="f" stroked="t" coordsize="21600,21600" o:gfxdata="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&#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ze/P1wAAAAsBAAAPAAAAAAAAAAEAIAAAACIAAABk&#10;cnMvZG93bnJldi54bWxQSwECFAAUAAAACACHTuJAbyB8Q84BAACOAwAADgAAAAAAAAABACAAAAAm&#10;AQAAZHJzL2Uyb0RvYy54bWxQSwUGAAAAAAYABgBZAQAAZgUAAAAA&#10;">
                <v:fill on="f" focussize="0,0"/>
                <v:stroke color="#000000" joinstyle="round"/>
                <v:imagedata o:title=""/>
                <o:lock v:ext="edit" aspectratio="f"/>
              </v:line>
            </w:pict>
          </mc:Fallback>
        </mc:AlternateContent>
      </w:r>
    </w:p>
    <w:p>
      <w:pPr>
        <w:pStyle w:val="93"/>
        <w:rPr>
          <w:rFonts w:hint="eastAsia"/>
        </w:rPr>
      </w:pPr>
      <w:bookmarkStart w:id="9" w:name="_Toc52282736"/>
      <w:r>
        <w:rPr>
          <w:rFonts w:hint="eastAsia" w:hAnsi="黑体"/>
        </w:rPr>
        <w:t>前</w:t>
      </w:r>
      <w:bookmarkStart w:id="10" w:name="BKQY"/>
      <w:bookmarkEnd w:id="10"/>
      <w:r>
        <w:rPr>
          <w:rFonts w:hint="eastAsia" w:ascii="MS Mincho" w:hAnsi="MS Mincho" w:eastAsia="MS Mincho"/>
        </w:rPr>
        <w:t>  </w:t>
      </w:r>
      <w:r>
        <w:rPr>
          <w:rFonts w:hint="eastAsia" w:hAnsi="黑体"/>
        </w:rPr>
        <w:t>言</w:t>
      </w:r>
      <w:bookmarkEnd w:id="9"/>
    </w:p>
    <w:p>
      <w:pPr>
        <w:pStyle w:val="22"/>
        <w:rPr>
          <w:rFonts w:hint="eastAsia"/>
        </w:rPr>
      </w:pPr>
      <w:r>
        <w:rPr>
          <w:rFonts w:hint="eastAsia" w:hAnsi="宋体"/>
        </w:rPr>
        <w:t>本标准按照</w:t>
      </w:r>
      <w:r>
        <w:rPr>
          <w:rFonts w:hint="eastAsia"/>
        </w:rPr>
        <w:t>GB/T 1.1—2009的规则起草。</w:t>
      </w:r>
    </w:p>
    <w:p>
      <w:pPr>
        <w:pStyle w:val="22"/>
        <w:rPr>
          <w:rFonts w:hint="eastAsia"/>
        </w:rPr>
      </w:pPr>
      <w:r>
        <w:rPr>
          <w:rFonts w:hint="eastAsia" w:hAnsi="宋体"/>
        </w:rPr>
        <w:t>本标准由中国物流与采购联合会提出。</w:t>
      </w:r>
    </w:p>
    <w:p>
      <w:pPr>
        <w:pStyle w:val="22"/>
        <w:rPr>
          <w:rFonts w:hint="eastAsia"/>
        </w:rPr>
      </w:pPr>
      <w:r>
        <w:rPr>
          <w:rFonts w:hint="eastAsia" w:hAnsi="宋体"/>
        </w:rPr>
        <w:t>本标准由中国物流与采购联合会团体标准化技术委员会归口。</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ind w:firstLine="422"/>
        <w:rPr>
          <w:rFonts w:hint="eastAsia"/>
        </w:rPr>
      </w:pPr>
      <w:r>
        <w:rPr>
          <w:rFonts w:hint="eastAsia" w:ascii="黑体" w:hAnsi="黑体" w:eastAsia="黑体"/>
          <w:b/>
          <w:bCs/>
        </w:rPr>
        <w:t>声明：本标准的知识产权归属于中国物流与采购联合会，未经中国物流与采购联合会同意，不得印刷、销售。任何组织、个人使用本标准开展认证、检测等活动应经中国物流与采购联合会批准授权。</w:t>
      </w:r>
    </w:p>
    <w:p>
      <w:pPr>
        <w:pStyle w:val="54"/>
      </w:pPr>
      <w:bookmarkStart w:id="11" w:name="_Toc52282737"/>
      <w:r>
        <w:rPr>
          <w:rFonts w:hint="eastAsia" w:hAnsi="黑体"/>
        </w:rPr>
        <w:t>目</w:t>
      </w:r>
      <w:bookmarkStart w:id="12" w:name="BKML"/>
      <w:bookmarkEnd w:id="12"/>
      <w:r>
        <w:rPr>
          <w:rFonts w:hint="eastAsia" w:ascii="MS Mincho" w:hAnsi="MS Mincho" w:eastAsia="MS Mincho"/>
        </w:rPr>
        <w:t>  </w:t>
      </w:r>
      <w:r>
        <w:rPr>
          <w:rFonts w:hint="eastAsia" w:hAnsi="黑体"/>
        </w:rPr>
        <w:t>次</w:t>
      </w:r>
      <w:bookmarkEnd w:id="11"/>
    </w:p>
    <w:p>
      <w:pPr>
        <w:pStyle w:val="131"/>
        <w:tabs>
          <w:tab w:val="right" w:leader="dot" w:pos="9354"/>
        </w:tabs>
        <w:rPr>
          <w:rFonts w:hint="eastAsia" w:ascii="宋体" w:hAnsi="宋体" w:eastAsia="宋体" w:cs="宋体"/>
          <w:sz w:val="21"/>
          <w:szCs w:val="21"/>
        </w:rPr>
      </w:pPr>
      <w:bookmarkStart w:id="13" w:name="_Toc27994178"/>
      <w:bookmarkEnd w:id="13"/>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"1-1" \h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_Toc13689 </w:instrText>
      </w:r>
      <w:r>
        <w:rPr>
          <w:rFonts w:hint="eastAsia" w:ascii="宋体" w:hAnsi="宋体" w:eastAsia="宋体" w:cs="宋体"/>
          <w:sz w:val="21"/>
          <w:szCs w:val="21"/>
        </w:rPr>
        <w:fldChar w:fldCharType="separate"/>
      </w:r>
      <w:r>
        <w:rPr>
          <w:rFonts w:hint="eastAsia" w:ascii="宋体" w:hAnsi="宋体" w:eastAsia="宋体" w:cs="宋体"/>
          <w:sz w:val="21"/>
          <w:szCs w:val="21"/>
        </w:rPr>
        <w:t>前  言</w:t>
      </w:r>
      <w:r>
        <w:rPr>
          <w:rFonts w:hint="eastAsia" w:ascii="宋体" w:hAnsi="宋体" w:eastAsia="宋体" w:cs="宋体"/>
          <w:sz w:val="21"/>
          <w:szCs w:val="21"/>
        </w:rPr>
        <w:tab/>
      </w:r>
      <w:r>
        <w:rPr>
          <w:rFonts w:hint="eastAsia" w:ascii="宋体" w:hAnsi="宋体" w:eastAsia="宋体" w:cs="宋体"/>
          <w:sz w:val="21"/>
          <w:szCs w:val="21"/>
        </w:rPr>
        <w:fldChar w:fldCharType="end"/>
      </w:r>
      <w:r>
        <w:rPr>
          <w:rFonts w:hint="eastAsia" w:ascii="宋体" w:hAnsi="宋体" w:eastAsia="宋体" w:cs="宋体"/>
          <w:sz w:val="21"/>
          <w:szCs w:val="21"/>
        </w:rPr>
        <w:t>Ⅰ</w:t>
      </w:r>
    </w:p>
    <w:p>
      <w:pPr>
        <w:pStyle w:val="131"/>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_Toc20747 </w:instrText>
      </w:r>
      <w:r>
        <w:rPr>
          <w:rFonts w:hint="eastAsia" w:ascii="宋体" w:hAnsi="宋体" w:eastAsia="宋体" w:cs="宋体"/>
          <w:sz w:val="21"/>
          <w:szCs w:val="21"/>
        </w:rPr>
        <w:fldChar w:fldCharType="separate"/>
      </w:r>
      <w:r>
        <w:rPr>
          <w:rFonts w:hint="eastAsia" w:ascii="宋体" w:hAnsi="宋体" w:eastAsia="宋体" w:cs="宋体"/>
          <w:bCs/>
          <w:i w:val="0"/>
          <w:sz w:val="21"/>
          <w:szCs w:val="21"/>
        </w:rPr>
        <w:t xml:space="preserve">1 </w:t>
      </w:r>
      <w:r>
        <w:rPr>
          <w:rFonts w:hint="eastAsia" w:ascii="宋体" w:hAnsi="宋体" w:eastAsia="宋体" w:cs="宋体"/>
          <w:bCs/>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_Toc20747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1"/>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_Toc2458 </w:instrText>
      </w:r>
      <w:r>
        <w:rPr>
          <w:rFonts w:hint="eastAsia" w:ascii="宋体" w:hAnsi="宋体" w:eastAsia="宋体" w:cs="宋体"/>
          <w:sz w:val="21"/>
          <w:szCs w:val="21"/>
        </w:rPr>
        <w:fldChar w:fldCharType="separate"/>
      </w:r>
      <w:r>
        <w:rPr>
          <w:rFonts w:hint="eastAsia" w:ascii="宋体" w:hAnsi="宋体" w:eastAsia="宋体" w:cs="宋体"/>
          <w:bCs/>
          <w:i w:val="0"/>
          <w:sz w:val="21"/>
          <w:szCs w:val="21"/>
        </w:rPr>
        <w:t xml:space="preserve">2 </w:t>
      </w:r>
      <w:r>
        <w:rPr>
          <w:rFonts w:hint="eastAsia" w:ascii="宋体" w:hAnsi="宋体" w:eastAsia="宋体" w:cs="宋体"/>
          <w:bCs/>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_Toc2458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1"/>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_Toc25637 </w:instrText>
      </w:r>
      <w:r>
        <w:rPr>
          <w:rFonts w:hint="eastAsia" w:ascii="宋体" w:hAnsi="宋体" w:eastAsia="宋体" w:cs="宋体"/>
          <w:sz w:val="21"/>
          <w:szCs w:val="21"/>
        </w:rPr>
        <w:fldChar w:fldCharType="separate"/>
      </w:r>
      <w:r>
        <w:rPr>
          <w:rFonts w:hint="eastAsia" w:ascii="宋体" w:hAnsi="宋体" w:eastAsia="宋体" w:cs="宋体"/>
          <w:bCs/>
          <w:i w:val="0"/>
          <w:sz w:val="21"/>
          <w:szCs w:val="21"/>
        </w:rPr>
        <w:t xml:space="preserve">3 </w:t>
      </w:r>
      <w:r>
        <w:rPr>
          <w:rFonts w:hint="eastAsia" w:ascii="宋体" w:hAnsi="宋体" w:eastAsia="宋体" w:cs="宋体"/>
          <w:bCs/>
          <w:sz w:val="21"/>
          <w:szCs w:val="21"/>
        </w:rPr>
        <w:t>术语与定义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_Toc25637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1"/>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_Toc20879 </w:instrText>
      </w:r>
      <w:r>
        <w:rPr>
          <w:rFonts w:hint="eastAsia" w:ascii="宋体" w:hAnsi="宋体" w:eastAsia="宋体" w:cs="宋体"/>
          <w:sz w:val="21"/>
          <w:szCs w:val="21"/>
        </w:rPr>
        <w:fldChar w:fldCharType="separate"/>
      </w:r>
      <w:r>
        <w:rPr>
          <w:rFonts w:hint="eastAsia" w:ascii="宋体" w:hAnsi="宋体" w:eastAsia="宋体" w:cs="宋体"/>
          <w:bCs/>
          <w:i w:val="0"/>
          <w:sz w:val="21"/>
          <w:szCs w:val="21"/>
        </w:rPr>
        <w:t xml:space="preserve">4 </w:t>
      </w:r>
      <w:r>
        <w:rPr>
          <w:rFonts w:hint="eastAsia" w:ascii="宋体" w:hAnsi="宋体" w:eastAsia="宋体" w:cs="宋体"/>
          <w:bCs/>
          <w:sz w:val="21"/>
          <w:szCs w:val="21"/>
        </w:rPr>
        <w:t>业务流程图</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_Toc20879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31"/>
        <w:tabs>
          <w:tab w:val="right" w:leader="dot" w:pos="9354"/>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_Toc13598 </w:instrText>
      </w:r>
      <w:r>
        <w:rPr>
          <w:rFonts w:hint="eastAsia" w:ascii="宋体" w:hAnsi="宋体" w:eastAsia="宋体" w:cs="宋体"/>
          <w:sz w:val="21"/>
          <w:szCs w:val="21"/>
        </w:rPr>
        <w:fldChar w:fldCharType="separate"/>
      </w:r>
      <w:r>
        <w:rPr>
          <w:rFonts w:hint="eastAsia" w:ascii="宋体" w:hAnsi="宋体" w:eastAsia="宋体" w:cs="宋体"/>
          <w:bCs/>
          <w:i w:val="0"/>
          <w:sz w:val="21"/>
          <w:szCs w:val="21"/>
        </w:rPr>
        <w:t xml:space="preserve">5 </w:t>
      </w:r>
      <w:r>
        <w:rPr>
          <w:rFonts w:hint="eastAsia" w:ascii="宋体" w:hAnsi="宋体" w:eastAsia="宋体" w:cs="宋体"/>
          <w:bCs/>
          <w:sz w:val="21"/>
          <w:szCs w:val="21"/>
          <w:lang w:val="en-US" w:eastAsia="zh-CN"/>
        </w:rPr>
        <w:t>电子商务平台</w:t>
      </w:r>
      <w:r>
        <w:rPr>
          <w:rFonts w:hint="eastAsia" w:ascii="宋体" w:hAnsi="宋体" w:eastAsia="宋体" w:cs="宋体"/>
          <w:bCs/>
          <w:sz w:val="21"/>
          <w:szCs w:val="21"/>
        </w:rPr>
        <w:t>交易流程及通用要求</w:t>
      </w:r>
      <w:r>
        <w:rPr>
          <w:rFonts w:hint="eastAsia" w:ascii="宋体" w:hAnsi="宋体" w:eastAsia="宋体" w:cs="宋体"/>
          <w:sz w:val="21"/>
          <w:szCs w:val="21"/>
        </w:rPr>
        <w:tab/>
      </w:r>
      <w:r>
        <w:rPr>
          <w:rFonts w:hint="eastAsia" w:ascii="宋体" w:hAnsi="宋体" w:eastAsia="宋体" w:cs="宋体"/>
          <w:sz w:val="21"/>
          <w:szCs w:val="21"/>
          <w:lang w:val="en-US" w:eastAsia="zh-CN"/>
        </w:rPr>
        <w:t>4</w:t>
      </w:r>
      <w:r>
        <w:rPr>
          <w:rFonts w:hint="eastAsia" w:ascii="宋体" w:hAnsi="宋体" w:eastAsia="宋体" w:cs="宋体"/>
          <w:sz w:val="21"/>
          <w:szCs w:val="21"/>
        </w:rPr>
        <w:fldChar w:fldCharType="end"/>
      </w:r>
    </w:p>
    <w:p>
      <w:pPr>
        <w:pStyle w:val="22"/>
        <w:ind w:firstLine="0" w:firstLineChars="0"/>
        <w:sectPr>
          <w:headerReference r:id="rId3" w:type="default"/>
          <w:pgSz w:w="12240" w:h="15840"/>
          <w:pgMar w:top="1440" w:right="1800" w:bottom="1440" w:left="1800" w:header="720" w:footer="720" w:gutter="0"/>
          <w:pgNumType w:fmt="upperRoman" w:start="1"/>
          <w:cols w:space="720" w:num="1"/>
        </w:sectPr>
      </w:pPr>
      <w:r>
        <w:rPr>
          <w:rFonts w:hint="eastAsia" w:ascii="宋体" w:hAnsi="宋体" w:eastAsia="宋体" w:cs="宋体"/>
          <w:sz w:val="21"/>
          <w:szCs w:val="21"/>
        </w:rPr>
        <w:fldChar w:fldCharType="end"/>
      </w:r>
    </w:p>
    <w:p>
      <w:pPr>
        <w:pStyle w:val="54"/>
        <w:rPr>
          <w:rFonts w:hint="eastAsia"/>
        </w:rPr>
      </w:pPr>
      <w:bookmarkStart w:id="14" w:name="_Toc52282738"/>
      <w:r>
        <w:rPr>
          <w:rFonts w:hint="eastAsia"/>
        </w:rPr>
        <w:t>公共采购电子商务平台交易规范</w:t>
      </w:r>
      <w:bookmarkEnd w:id="14"/>
    </w:p>
    <w:p>
      <w:pPr>
        <w:pStyle w:val="47"/>
        <w:rPr>
          <w:rFonts w:hint="eastAsia"/>
        </w:rPr>
      </w:pPr>
      <w:r>
        <w:rPr>
          <w:rFonts w:hint="eastAsia"/>
        </w:rPr>
        <w:t>范围</w:t>
      </w:r>
    </w:p>
    <w:p>
      <w:pPr>
        <w:pStyle w:val="22"/>
      </w:pPr>
      <w:r>
        <w:rPr>
          <w:rFonts w:hint="eastAsia"/>
        </w:rPr>
        <w:t>本标准规定了公共采购领域中通过电子商务平台完成交易的流程要求与管理规则。</w:t>
      </w:r>
    </w:p>
    <w:p>
      <w:pPr>
        <w:pStyle w:val="22"/>
        <w:rPr>
          <w:rFonts w:hint="eastAsia"/>
        </w:rPr>
      </w:pPr>
      <w:r>
        <w:rPr>
          <w:rFonts w:hint="eastAsia"/>
        </w:rPr>
        <w:t>本标准适用于国有企业等公共采购机构在中国境内开展的非依法必须招标项目的电商交易活动。其他机构通过电商形式进行的采购活动，可参照本标准。</w:t>
      </w:r>
    </w:p>
    <w:p>
      <w:pPr>
        <w:pStyle w:val="47"/>
        <w:rPr>
          <w:rFonts w:hint="eastAsia"/>
        </w:rPr>
      </w:pPr>
      <w:r>
        <w:rPr>
          <w:rFonts w:hint="eastAsia"/>
        </w:rPr>
        <w:t>规范性引用文件</w:t>
      </w:r>
    </w:p>
    <w:p>
      <w:pPr>
        <w:pStyle w:val="22"/>
      </w:pPr>
      <w:r>
        <w:rPr>
          <w:rFonts w:hint="eastAsia" w:hAnsi="宋体"/>
        </w:rPr>
        <w:t>引用文件中仅注日期的版本适用于本文件。未注日期的引用文件，其最新版本（包括修订版本）适用于本文件。</w:t>
      </w:r>
    </w:p>
    <w:p>
      <w:pPr>
        <w:widowControl/>
        <w:autoSpaceDE w:val="0"/>
        <w:autoSpaceDN w:val="0"/>
        <w:ind w:firstLine="420" w:firstLineChars="200"/>
        <w:jc w:val="left"/>
        <w:rPr>
          <w:rFonts w:hint="eastAsia" w:ascii="宋体" w:hAnsi="宋体"/>
          <w:kern w:val="0"/>
        </w:rPr>
      </w:pPr>
      <w:r>
        <w:rPr>
          <w:rFonts w:hint="eastAsia" w:ascii="宋体" w:hAnsi="宋体"/>
          <w:kern w:val="0"/>
        </w:rPr>
        <w:t>《国有企业采购操作规范》T/CFLP 0016-2019</w:t>
      </w:r>
    </w:p>
    <w:p>
      <w:pPr>
        <w:widowControl/>
        <w:autoSpaceDE w:val="0"/>
        <w:autoSpaceDN w:val="0"/>
        <w:ind w:firstLine="420" w:firstLineChars="200"/>
        <w:jc w:val="left"/>
        <w:rPr>
          <w:rFonts w:hint="default" w:ascii="宋体" w:hAnsi="宋体"/>
          <w:kern w:val="0"/>
          <w:lang w:val="en-US"/>
        </w:rPr>
      </w:pPr>
      <w:r>
        <w:rPr>
          <w:rFonts w:hint="eastAsia" w:ascii="宋体" w:hAnsi="宋体"/>
          <w:kern w:val="0"/>
        </w:rPr>
        <w:t xml:space="preserve">《国有企业采购管理规范》T/CFLP </w:t>
      </w:r>
      <w:r>
        <w:rPr>
          <w:rFonts w:hint="default" w:ascii="宋体" w:hAnsi="宋体"/>
          <w:kern w:val="0"/>
          <w:lang w:val="en-US"/>
        </w:rPr>
        <w:t>0027-2020</w:t>
      </w:r>
    </w:p>
    <w:p>
      <w:pPr>
        <w:pStyle w:val="47"/>
        <w:rPr>
          <w:rFonts w:hint="eastAsia"/>
        </w:rPr>
      </w:pPr>
      <w:r>
        <w:rPr>
          <w:rFonts w:hint="eastAsia"/>
        </w:rPr>
        <w:t>术语与定义</w:t>
      </w:r>
    </w:p>
    <w:p>
      <w:pPr>
        <w:pStyle w:val="22"/>
        <w:rPr>
          <w:rFonts w:hint="eastAsia"/>
          <w:szCs w:val="21"/>
        </w:rPr>
      </w:pPr>
      <w:r>
        <w:rPr>
          <w:rFonts w:hint="eastAsia"/>
        </w:rPr>
        <w:t>下列术语和定义适用于本文件。</w:t>
      </w:r>
      <w:bookmarkStart w:id="15" w:name="_Toc27994181"/>
      <w:bookmarkEnd w:id="15"/>
      <w:r>
        <w:rPr>
          <w:rFonts w:hint="eastAsia"/>
        </w:rPr>
        <w:t xml:space="preserve"> </w:t>
      </w:r>
    </w:p>
    <w:p>
      <w:pPr>
        <w:pStyle w:val="43"/>
        <w:rPr>
          <w:rFonts w:hint="eastAsia"/>
        </w:rPr>
      </w:pPr>
      <w:r>
        <w:rPr>
          <w:rFonts w:hint="eastAsia"/>
        </w:rPr>
        <w:t>非依法必须招标 not subject to tender according to law</w:t>
      </w:r>
    </w:p>
    <w:p>
      <w:pPr>
        <w:pStyle w:val="22"/>
        <w:rPr>
          <w:rFonts w:hint="eastAsia"/>
        </w:rPr>
      </w:pPr>
      <w:r>
        <w:rPr>
          <w:rFonts w:hint="eastAsia"/>
        </w:rPr>
        <w:t>非依法必须招标，是指法律规定必须进行招标之外的采购项目，可通过招标方式进行，也可采用其他采购方式进行。如采用招标方式采购，应遵照《中华人民共和国招标投标法》（以下简称招标投标法）及其《中华人民共和国招标投标法实施条例》（以下简称实施条例）的一般性条款，“依法必须进行招标”的有关专属规定可供参考执行。</w:t>
      </w:r>
    </w:p>
    <w:p>
      <w:pPr>
        <w:pStyle w:val="43"/>
        <w:rPr>
          <w:rFonts w:hint="eastAsia"/>
        </w:rPr>
      </w:pPr>
      <w:r>
        <w:rPr>
          <w:rFonts w:hint="eastAsia"/>
        </w:rPr>
        <w:t>电子商务平台 E-commerce sourcing and trading platform</w:t>
      </w:r>
    </w:p>
    <w:p>
      <w:pPr>
        <w:pStyle w:val="22"/>
        <w:rPr>
          <w:rFonts w:hint="eastAsia"/>
        </w:rPr>
      </w:pPr>
      <w:r>
        <w:rPr>
          <w:rFonts w:hint="eastAsia"/>
        </w:rPr>
        <w:t>电子商务平台是国有企业（以下简称企业）以及其他公共采购机构，建设使用的网上交易洽谈的平台，是具有在线完成询价、比价、下单、物流、支付、验收、评价、以及金融服务等操作功能的新型采购组织形式。</w:t>
      </w:r>
    </w:p>
    <w:p>
      <w:pPr>
        <w:pStyle w:val="43"/>
        <w:rPr>
          <w:rFonts w:hint="eastAsia"/>
        </w:rPr>
      </w:pPr>
      <w:bookmarkStart w:id="16" w:name="_Toc27994182"/>
      <w:bookmarkEnd w:id="16"/>
      <w:r>
        <w:rPr>
          <w:rFonts w:hint="eastAsia"/>
        </w:rPr>
        <w:t>采购人 procurement person</w:t>
      </w:r>
    </w:p>
    <w:p>
      <w:pPr>
        <w:pStyle w:val="22"/>
        <w:rPr>
          <w:rFonts w:hint="eastAsia"/>
        </w:rPr>
      </w:pPr>
      <w:r>
        <w:rPr>
          <w:rFonts w:hint="eastAsia"/>
        </w:rPr>
        <w:t>国有企业依据职能分工承担采购任务的机构或部门，在招标投标活动中称为招标人。</w:t>
      </w:r>
    </w:p>
    <w:p>
      <w:pPr>
        <w:pStyle w:val="43"/>
        <w:rPr>
          <w:rFonts w:hint="eastAsia"/>
        </w:rPr>
      </w:pPr>
      <w:bookmarkStart w:id="17" w:name="_Toc27994183"/>
      <w:bookmarkEnd w:id="17"/>
      <w:bookmarkStart w:id="18" w:name="_Toc2244215"/>
      <w:bookmarkEnd w:id="18"/>
      <w:bookmarkStart w:id="19" w:name="_Toc535233498"/>
      <w:bookmarkEnd w:id="19"/>
      <w:r>
        <w:rPr>
          <w:rFonts w:hint="eastAsia"/>
        </w:rPr>
        <w:t>供应商 supplier</w:t>
      </w:r>
    </w:p>
    <w:p>
      <w:pPr>
        <w:pStyle w:val="22"/>
        <w:rPr>
          <w:rFonts w:hint="eastAsia"/>
        </w:rPr>
      </w:pPr>
      <w:bookmarkStart w:id="20" w:name="_Toc535233500"/>
      <w:bookmarkEnd w:id="20"/>
      <w:bookmarkStart w:id="21" w:name="_Toc2244216"/>
      <w:bookmarkEnd w:id="21"/>
      <w:bookmarkStart w:id="22" w:name="_Toc2244081"/>
      <w:r>
        <w:rPr>
          <w:rFonts w:hint="eastAsia"/>
        </w:rPr>
        <w:t>为采购人提供工程、货物和服务的承包商、供货商和服务商，在招标投标活动中称为投标人。</w:t>
      </w:r>
      <w:bookmarkEnd w:id="22"/>
    </w:p>
    <w:p>
      <w:pPr>
        <w:pStyle w:val="43"/>
        <w:rPr>
          <w:rFonts w:hint="eastAsia"/>
        </w:rPr>
      </w:pPr>
      <w:bookmarkStart w:id="23" w:name="_Toc2244217"/>
      <w:bookmarkEnd w:id="23"/>
      <w:bookmarkStart w:id="24" w:name="_Toc27994184"/>
      <w:bookmarkEnd w:id="24"/>
      <w:bookmarkStart w:id="25" w:name="_Toc2244082"/>
      <w:bookmarkEnd w:id="25"/>
      <w:bookmarkStart w:id="26" w:name="_Toc535233502"/>
      <w:bookmarkEnd w:id="26"/>
      <w:r>
        <w:rPr>
          <w:rFonts w:hint="eastAsia"/>
        </w:rPr>
        <w:t>供应商资源库 supplier base</w:t>
      </w:r>
    </w:p>
    <w:p>
      <w:pPr>
        <w:pStyle w:val="22"/>
        <w:rPr>
          <w:rFonts w:hint="eastAsia"/>
          <w:strike/>
        </w:rPr>
      </w:pPr>
      <w:r>
        <w:rPr>
          <w:rFonts w:hint="eastAsia"/>
        </w:rPr>
        <w:t>通过寻源建立的和本企业生产经营有关的服务商名单及其相关产品、服务信息的商业信息数据的总称。</w:t>
      </w:r>
      <w:bookmarkStart w:id="27" w:name="_Toc27994185"/>
      <w:bookmarkEnd w:id="27"/>
    </w:p>
    <w:p>
      <w:pPr>
        <w:pStyle w:val="43"/>
        <w:rPr>
          <w:rFonts w:hint="eastAsia"/>
        </w:rPr>
      </w:pPr>
      <w:r>
        <w:rPr>
          <w:rFonts w:hint="eastAsia"/>
        </w:rPr>
        <w:t>电商化服务能力 E-commerce service capability</w:t>
      </w:r>
    </w:p>
    <w:p>
      <w:pPr>
        <w:pStyle w:val="22"/>
        <w:rPr>
          <w:rFonts w:hint="eastAsia"/>
        </w:rPr>
      </w:pPr>
      <w:r>
        <w:rPr>
          <w:rFonts w:hint="eastAsia"/>
        </w:rPr>
        <w:t>供应商电商化水平及其提供的电商化产品覆盖范围的综合能力。</w:t>
      </w:r>
      <w:bookmarkStart w:id="28" w:name="_Toc27994186"/>
      <w:bookmarkEnd w:id="28"/>
      <w:r>
        <w:rPr>
          <w:rFonts w:hint="eastAsia"/>
        </w:rPr>
        <w:t xml:space="preserve"> </w:t>
      </w:r>
    </w:p>
    <w:p>
      <w:pPr>
        <w:pStyle w:val="43"/>
        <w:rPr>
          <w:rFonts w:hint="eastAsia"/>
        </w:rPr>
      </w:pPr>
      <w:r>
        <w:rPr>
          <w:rFonts w:hint="eastAsia"/>
        </w:rPr>
        <w:t>网上商城Online shop（E-shop)</w:t>
      </w:r>
    </w:p>
    <w:p>
      <w:pPr>
        <w:pStyle w:val="22"/>
        <w:rPr>
          <w:rFonts w:hint="eastAsia"/>
        </w:rPr>
      </w:pPr>
      <w:r>
        <w:rPr>
          <w:rFonts w:hint="eastAsia"/>
        </w:rPr>
        <w:t>网上商城是承载整个电商化交易全流程的网络平台。</w:t>
      </w:r>
      <w:bookmarkStart w:id="29" w:name="_Toc27994187"/>
      <w:bookmarkEnd w:id="29"/>
    </w:p>
    <w:p>
      <w:pPr>
        <w:pStyle w:val="43"/>
        <w:rPr>
          <w:rFonts w:hint="eastAsia"/>
        </w:rPr>
      </w:pPr>
      <w:r>
        <w:rPr>
          <w:rFonts w:hint="eastAsia"/>
        </w:rPr>
        <w:t xml:space="preserve">订单Order  </w:t>
      </w:r>
    </w:p>
    <w:p>
      <w:pPr>
        <w:pStyle w:val="22"/>
        <w:rPr>
          <w:rFonts w:hint="eastAsia"/>
        </w:rPr>
      </w:pPr>
      <w:r>
        <w:rPr>
          <w:rFonts w:hint="eastAsia" w:hAnsi="宋体"/>
          <w:szCs w:val="21"/>
        </w:rPr>
        <w:t>企业采购</w:t>
      </w:r>
      <w:r>
        <w:rPr>
          <w:rFonts w:hint="eastAsia" w:hAnsi="宋体"/>
        </w:rPr>
        <w:t>部门通过网上商城向供应商发出订货凭据。</w:t>
      </w:r>
      <w:bookmarkStart w:id="30" w:name="_Toc27994188"/>
      <w:bookmarkEnd w:id="30"/>
    </w:p>
    <w:p>
      <w:pPr>
        <w:pStyle w:val="43"/>
        <w:rPr>
          <w:rFonts w:hint="eastAsia"/>
        </w:rPr>
      </w:pPr>
      <w:r>
        <w:rPr>
          <w:rFonts w:hint="eastAsia"/>
        </w:rPr>
        <w:t>实时价模式 real time price mode</w:t>
      </w:r>
    </w:p>
    <w:p>
      <w:pPr>
        <w:pStyle w:val="22"/>
        <w:rPr>
          <w:rFonts w:hint="eastAsia"/>
        </w:rPr>
      </w:pPr>
      <w:r>
        <w:rPr>
          <w:rFonts w:hint="eastAsia"/>
        </w:rPr>
        <w:t>实时价模式是指采取定品类、定折扣、实时价的采购策略。</w:t>
      </w:r>
      <w:bookmarkStart w:id="31" w:name="_Toc27994189"/>
      <w:bookmarkEnd w:id="31"/>
    </w:p>
    <w:p>
      <w:pPr>
        <w:pStyle w:val="43"/>
        <w:rPr>
          <w:rFonts w:hint="eastAsia"/>
        </w:rPr>
      </w:pPr>
      <w:r>
        <w:rPr>
          <w:rFonts w:hint="eastAsia"/>
        </w:rPr>
        <w:t>固定价模式 fixed price mode</w:t>
      </w:r>
    </w:p>
    <w:p>
      <w:pPr>
        <w:pStyle w:val="22"/>
        <w:rPr>
          <w:rFonts w:hint="eastAsia"/>
        </w:rPr>
      </w:pPr>
      <w:r>
        <w:rPr>
          <w:rFonts w:hint="eastAsia"/>
        </w:rPr>
        <w:t>固定价模式是指采取定商品、定标准、定单价的采购策略。</w:t>
      </w:r>
      <w:bookmarkStart w:id="32" w:name="_Toc27994190"/>
      <w:bookmarkEnd w:id="32"/>
    </w:p>
    <w:p>
      <w:pPr>
        <w:pStyle w:val="43"/>
        <w:rPr>
          <w:rFonts w:hint="eastAsia"/>
        </w:rPr>
      </w:pPr>
      <w:r>
        <w:rPr>
          <w:rFonts w:hint="eastAsia"/>
        </w:rPr>
        <w:t>定制化模式Customized mode</w:t>
      </w:r>
    </w:p>
    <w:p>
      <w:pPr>
        <w:pStyle w:val="22"/>
        <w:rPr>
          <w:rFonts w:hint="eastAsia"/>
        </w:rPr>
      </w:pPr>
      <w:r>
        <w:rPr>
          <w:rFonts w:hint="eastAsia"/>
        </w:rPr>
        <w:t>定制化模式是指定商品、不定单价，采购时需进行二次比选的采购策略。</w:t>
      </w:r>
      <w:bookmarkStart w:id="33" w:name="_Toc27994191"/>
      <w:bookmarkEnd w:id="33"/>
    </w:p>
    <w:p>
      <w:pPr>
        <w:pStyle w:val="43"/>
        <w:rPr>
          <w:rFonts w:hint="eastAsia"/>
        </w:rPr>
      </w:pPr>
      <w:r>
        <w:rPr>
          <w:rFonts w:hint="eastAsia"/>
        </w:rPr>
        <w:t>框架采购 framework agreement procurement</w:t>
      </w:r>
    </w:p>
    <w:p>
      <w:pPr>
        <w:pStyle w:val="22"/>
        <w:rPr>
          <w:rFonts w:hint="eastAsia"/>
        </w:rPr>
      </w:pPr>
      <w:r>
        <w:rPr>
          <w:rFonts w:hint="eastAsia"/>
        </w:rPr>
        <w:t>是针对重复性采购，采购人分阶段缔约和履约的采购组织管理形式。</w:t>
      </w:r>
      <w:bookmarkStart w:id="34" w:name="_Toc27994192"/>
      <w:bookmarkEnd w:id="34"/>
    </w:p>
    <w:p>
      <w:pPr>
        <w:pStyle w:val="43"/>
        <w:rPr>
          <w:rFonts w:hint="eastAsia"/>
        </w:rPr>
      </w:pPr>
      <w:r>
        <w:rPr>
          <w:rFonts w:hint="eastAsia"/>
        </w:rPr>
        <w:t>采购卡片Purchase card</w:t>
      </w:r>
    </w:p>
    <w:p>
      <w:pPr>
        <w:pStyle w:val="22"/>
        <w:rPr>
          <w:rFonts w:hint="eastAsia"/>
        </w:rPr>
      </w:pPr>
      <w:r>
        <w:rPr>
          <w:rFonts w:hint="eastAsia"/>
        </w:rPr>
        <w:t>是包含框架协议内容描述、供应商基本信息、供应商一阶段评标结果的商品详情页面。</w:t>
      </w:r>
    </w:p>
    <w:p>
      <w:pPr>
        <w:pStyle w:val="47"/>
        <w:rPr>
          <w:rFonts w:hint="eastAsia"/>
        </w:rPr>
      </w:pPr>
      <w:bookmarkStart w:id="35" w:name="_Toc27994193"/>
      <w:bookmarkEnd w:id="35"/>
      <w:r>
        <w:rPr>
          <w:rFonts w:hint="eastAsia"/>
        </w:rPr>
        <w:t>业务流程图</w:t>
      </w:r>
    </w:p>
    <w:p>
      <w:pPr>
        <w:pStyle w:val="22"/>
        <w:rPr>
          <w:rFonts w:hint="eastAsia"/>
          <w:szCs w:val="21"/>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22"/>
        <w:rPr>
          <w:rFonts w:hint="eastAsia"/>
        </w:rPr>
      </w:pPr>
      <w:r>
        <w:rPr>
          <w:rFonts w:hint="eastAsia"/>
        </w:rPr>
        <w:t xml:space="preserve"> </w:t>
      </w:r>
    </w:p>
    <w:p>
      <w:pPr>
        <w:pStyle w:val="122"/>
        <w:rPr>
          <w:rFonts w:hint="eastAsia"/>
        </w:rPr>
      </w:pPr>
      <w:r>
        <w:rPr>
          <w:rFonts w:hint="eastAsia"/>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6040755" cy="8038465"/>
            <wp:effectExtent l="0" t="0" r="17145" b="635"/>
            <wp:wrapSquare wrapText="bothSides"/>
            <wp:docPr id="3" name="图片 11"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wps2"/>
                    <pic:cNvPicPr>
                      <a:picLocks noChangeAspect="1"/>
                    </pic:cNvPicPr>
                  </pic:nvPicPr>
                  <pic:blipFill>
                    <a:blip r:embed="rId7"/>
                    <a:stretch>
                      <a:fillRect/>
                    </a:stretch>
                  </pic:blipFill>
                  <pic:spPr>
                    <a:xfrm>
                      <a:off x="0" y="0"/>
                      <a:ext cx="6040755" cy="8038465"/>
                    </a:xfrm>
                    <a:prstGeom prst="rect">
                      <a:avLst/>
                    </a:prstGeom>
                    <a:noFill/>
                    <a:ln>
                      <a:noFill/>
                    </a:ln>
                  </pic:spPr>
                </pic:pic>
              </a:graphicData>
            </a:graphic>
          </wp:anchor>
        </w:drawing>
      </w:r>
      <w:r>
        <w:rPr>
          <w:rFonts w:hint="eastAsia" w:hAnsi="黑体"/>
        </w:rPr>
        <w:t>业务流程图</w:t>
      </w:r>
      <w:bookmarkStart w:id="45" w:name="_GoBack"/>
      <w:bookmarkEnd w:id="45"/>
    </w:p>
    <w:p>
      <w:pPr>
        <w:pStyle w:val="47"/>
        <w:rPr>
          <w:rFonts w:hint="eastAsia"/>
        </w:rPr>
      </w:pPr>
      <w:bookmarkStart w:id="36" w:name="_Toc27994194"/>
      <w:bookmarkEnd w:id="36"/>
      <w:r>
        <w:rPr>
          <w:rFonts w:hint="eastAsia"/>
        </w:rPr>
        <w:t>电子商务平台交易流程及通用要求</w:t>
      </w:r>
    </w:p>
    <w:p>
      <w:pPr>
        <w:pStyle w:val="43"/>
        <w:rPr>
          <w:rFonts w:hint="eastAsia"/>
        </w:rPr>
      </w:pPr>
      <w:bookmarkStart w:id="37" w:name="_Toc27994195"/>
      <w:bookmarkEnd w:id="37"/>
      <w:r>
        <w:rPr>
          <w:rFonts w:hint="eastAsia"/>
        </w:rPr>
        <w:t>建立电商供应商资源库</w:t>
      </w:r>
    </w:p>
    <w:p>
      <w:pPr>
        <w:pStyle w:val="42"/>
        <w:spacing w:before="156" w:after="156"/>
        <w:rPr>
          <w:rFonts w:hint="eastAsia"/>
        </w:rPr>
      </w:pPr>
      <w:r>
        <w:rPr>
          <w:rFonts w:hint="eastAsia"/>
        </w:rPr>
        <w:t>管理供应商基本信息</w:t>
      </w:r>
    </w:p>
    <w:p>
      <w:pPr>
        <w:pStyle w:val="22"/>
        <w:rPr>
          <w:rFonts w:hint="eastAsia"/>
        </w:rPr>
      </w:pPr>
      <w:r>
        <w:rPr>
          <w:rFonts w:hint="eastAsia"/>
        </w:rPr>
        <w:t>企业应收集供应商基本信息，宜至少包括资质业绩、供货品类、服务范围、配送能力、售后服务、信息化水平（通过深入应用信息技术，促成企业的业务模式、组织架构乃至经营战略发生革新或转变，信息化常指对象或领域因信息技术的深入应用所达成的新形态或状态）、自营电商成熟度、电商化服务能力等。</w:t>
      </w:r>
    </w:p>
    <w:p>
      <w:pPr>
        <w:pStyle w:val="22"/>
        <w:rPr>
          <w:rFonts w:hint="eastAsia"/>
        </w:rPr>
      </w:pPr>
      <w:r>
        <w:rPr>
          <w:rFonts w:hint="eastAsia"/>
        </w:rPr>
        <w:t>企业应对供应商进行综合能力评估。参加评估的部门和人员应包括采购需求、供应、运营、相关技术部门的专家以及负责服务商管理的人员。也可委托第三方专业机构对服务商能力进行评估。</w:t>
      </w:r>
    </w:p>
    <w:p>
      <w:pPr>
        <w:pStyle w:val="22"/>
        <w:rPr>
          <w:rFonts w:hint="eastAsia"/>
        </w:rPr>
      </w:pPr>
      <w:r>
        <w:rPr>
          <w:rFonts w:hint="eastAsia"/>
        </w:rPr>
        <w:t>能力评估内容宜至少包括：财务状况、商务能力、技术与服务能力、生产能力、质量能力、信息化水平、自营电商成熟度、电商化服务能力、环保、社会责任和可持续发展能力及战略合作意愿等。</w:t>
      </w:r>
    </w:p>
    <w:p>
      <w:pPr>
        <w:pStyle w:val="22"/>
        <w:rPr>
          <w:rFonts w:hint="eastAsia"/>
        </w:rPr>
      </w:pPr>
      <w:r>
        <w:rPr>
          <w:rFonts w:hint="eastAsia"/>
          <w:color w:val="000000"/>
        </w:rPr>
        <w:t>企业宜通过第三方征信和评价平台，建立供应商的征信和评价机制，建设满足相关法律法规标准要求、质量标准以及公司和外部最终用户要求，达到电商化能力基本水平的企业供应资源库。</w:t>
      </w:r>
    </w:p>
    <w:p>
      <w:pPr>
        <w:pStyle w:val="22"/>
        <w:rPr>
          <w:rFonts w:hint="eastAsia"/>
          <w:color w:val="000000"/>
        </w:rPr>
      </w:pPr>
      <w:r>
        <w:rPr>
          <w:rFonts w:hint="eastAsia"/>
        </w:rPr>
        <w:t>企业间宜通过第三方</w:t>
      </w:r>
      <w:r>
        <w:rPr>
          <w:rFonts w:hint="eastAsia"/>
          <w:color w:val="000000"/>
        </w:rPr>
        <w:t>征信和评价平台，整合形成分级分类、动态共享的电商化供应商资源库</w:t>
      </w:r>
      <w:r>
        <w:rPr>
          <w:rFonts w:hint="eastAsia"/>
        </w:rPr>
        <w:t>。</w:t>
      </w:r>
    </w:p>
    <w:p>
      <w:pPr>
        <w:pStyle w:val="42"/>
        <w:spacing w:before="156" w:after="156"/>
        <w:rPr>
          <w:rFonts w:hint="eastAsia"/>
        </w:rPr>
      </w:pPr>
      <w:r>
        <w:rPr>
          <w:rFonts w:hint="eastAsia"/>
        </w:rPr>
        <w:t>管理供应商</w:t>
      </w:r>
    </w:p>
    <w:p>
      <w:pPr>
        <w:pStyle w:val="22"/>
        <w:rPr>
          <w:rFonts w:hint="eastAsia"/>
        </w:rPr>
      </w:pPr>
      <w:r>
        <w:rPr>
          <w:rFonts w:hint="eastAsia"/>
        </w:rPr>
        <w:t>企业应对入库供应商进行分类、分级管理，定期进行合格评定，奖励优秀供应商，建立合格供应商动态管理机制。</w:t>
      </w:r>
    </w:p>
    <w:p>
      <w:pPr>
        <w:pStyle w:val="45"/>
        <w:spacing w:before="156" w:after="156"/>
        <w:rPr>
          <w:rFonts w:hint="eastAsia"/>
        </w:rPr>
      </w:pPr>
      <w:bookmarkStart w:id="38" w:name="_Toc521339928"/>
      <w:bookmarkEnd w:id="38"/>
      <w:bookmarkStart w:id="39" w:name="_Toc532308755"/>
      <w:bookmarkEnd w:id="39"/>
      <w:bookmarkStart w:id="40" w:name="_Toc521510442"/>
      <w:bookmarkEnd w:id="40"/>
      <w:bookmarkStart w:id="41" w:name="_Toc521407653"/>
      <w:r>
        <w:rPr>
          <w:rFonts w:hint="eastAsia"/>
        </w:rPr>
        <w:t>分级管理</w:t>
      </w:r>
      <w:bookmarkEnd w:id="41"/>
    </w:p>
    <w:p>
      <w:pPr>
        <w:pStyle w:val="22"/>
        <w:rPr>
          <w:rFonts w:hint="eastAsia"/>
        </w:rPr>
      </w:pPr>
      <w:r>
        <w:rPr>
          <w:rFonts w:hint="eastAsia"/>
        </w:rPr>
        <w:t>企业应依据入库供应商及其产品的业绩情况、管理能力、电商化服务能力、价格竞争力、质量安全环保管理体系、交付能力、服务能力、技术能力、战略合作意愿、信息化水平、自营电商成熟度、信用等级和创新管理水平进行分级管理。</w:t>
      </w:r>
    </w:p>
    <w:p>
      <w:pPr>
        <w:pStyle w:val="45"/>
        <w:spacing w:before="156" w:after="156"/>
        <w:rPr>
          <w:rFonts w:hint="eastAsia"/>
        </w:rPr>
      </w:pPr>
      <w:r>
        <w:rPr>
          <w:rFonts w:hint="eastAsia"/>
        </w:rPr>
        <w:t>动态管理</w:t>
      </w:r>
    </w:p>
    <w:p>
      <w:pPr>
        <w:pStyle w:val="22"/>
        <w:rPr>
          <w:rFonts w:hint="eastAsia"/>
        </w:rPr>
      </w:pPr>
      <w:r>
        <w:rPr>
          <w:rFonts w:hint="eastAsia"/>
        </w:rPr>
        <w:t>企业应通过透明的供应资源库管理制度，对入库供应商进行有效的供应商生命周期管理。在现有供应商的有效生命周期尚未结束之前，采购人应开始寻找合适的新供应商；经程序补充一定数量新的供应商入库，替代考核淘汰的供应商。</w:t>
      </w:r>
    </w:p>
    <w:p>
      <w:pPr>
        <w:pStyle w:val="43"/>
        <w:rPr>
          <w:rFonts w:hint="eastAsia"/>
        </w:rPr>
      </w:pPr>
      <w:bookmarkStart w:id="42" w:name="_Toc27994196"/>
      <w:bookmarkEnd w:id="42"/>
      <w:r>
        <w:rPr>
          <w:rFonts w:hint="eastAsia"/>
        </w:rPr>
        <w:t>建立电商商品目录</w:t>
      </w:r>
    </w:p>
    <w:p>
      <w:pPr>
        <w:pStyle w:val="22"/>
        <w:rPr>
          <w:rFonts w:hint="eastAsia"/>
          <w:szCs w:val="21"/>
        </w:rPr>
      </w:pPr>
      <w:r>
        <w:rPr>
          <w:rFonts w:hint="eastAsia"/>
        </w:rPr>
        <w:t>企业宜建立适用并精简的分品类、分档次的电商化商品目录。</w:t>
      </w:r>
    </w:p>
    <w:p>
      <w:pPr>
        <w:pStyle w:val="22"/>
        <w:rPr>
          <w:rFonts w:hint="eastAsia"/>
        </w:rPr>
      </w:pPr>
      <w:r>
        <w:rPr>
          <w:rFonts w:hint="eastAsia"/>
        </w:rPr>
        <w:t>电商化商品目录可按实时价模式、固定价模式、定制化模式分别制定。</w:t>
      </w:r>
    </w:p>
    <w:p>
      <w:pPr>
        <w:pStyle w:val="42"/>
        <w:spacing w:before="156" w:after="156"/>
        <w:rPr>
          <w:rFonts w:hint="eastAsia"/>
        </w:rPr>
      </w:pPr>
      <w:r>
        <w:rPr>
          <w:rFonts w:hint="eastAsia"/>
        </w:rPr>
        <w:t>实时价模式电商化商品目录</w:t>
      </w:r>
    </w:p>
    <w:p>
      <w:pPr>
        <w:pStyle w:val="22"/>
        <w:rPr>
          <w:rFonts w:hint="eastAsia"/>
        </w:rPr>
      </w:pPr>
      <w:r>
        <w:rPr>
          <w:rFonts w:hint="eastAsia"/>
        </w:rPr>
        <w:t>应明确采购品类但不限定具体商品，直接引用电商公开透明的商品目录。</w:t>
      </w:r>
    </w:p>
    <w:p>
      <w:pPr>
        <w:pStyle w:val="22"/>
        <w:rPr>
          <w:rFonts w:hint="eastAsia"/>
        </w:rPr>
      </w:pPr>
      <w:r>
        <w:rPr>
          <w:rFonts w:hint="eastAsia"/>
        </w:rPr>
        <w:t>适用于竞争充分、市场价格透明的通用性物资和服务，如办公用品、办公日用、办公电器、部分劳保用品、部分低压电器等</w:t>
      </w:r>
    </w:p>
    <w:p>
      <w:pPr>
        <w:pStyle w:val="42"/>
        <w:spacing w:before="156" w:after="156"/>
        <w:rPr>
          <w:rFonts w:hint="eastAsia"/>
        </w:rPr>
      </w:pPr>
      <w:r>
        <w:rPr>
          <w:rFonts w:hint="eastAsia"/>
        </w:rPr>
        <w:t>固定价模式电商化商品目录</w:t>
      </w:r>
    </w:p>
    <w:p>
      <w:pPr>
        <w:pStyle w:val="22"/>
        <w:rPr>
          <w:rFonts w:hint="eastAsia"/>
        </w:rPr>
      </w:pPr>
      <w:r>
        <w:rPr>
          <w:rFonts w:hint="eastAsia"/>
        </w:rPr>
        <w:t>应依据企业电商化采购范围，结合历史数据和年度费用计划，组织有关需求单位、专业管理部门集中确定。</w:t>
      </w:r>
    </w:p>
    <w:p>
      <w:pPr>
        <w:pStyle w:val="22"/>
        <w:rPr>
          <w:rFonts w:hint="eastAsia"/>
        </w:rPr>
      </w:pPr>
      <w:r>
        <w:rPr>
          <w:rFonts w:hint="eastAsia"/>
        </w:rPr>
        <w:t>适用于商品技术要求明确，社会成熟电商自营范围之外或覆盖不全，生产运维业务中广泛使用的物资和服务，如配件、工器具、仪器仪表、办公家具、低压电器、五金建材、化工、公路运输、打印服务、绿植租赁等。</w:t>
      </w:r>
    </w:p>
    <w:p>
      <w:pPr>
        <w:pStyle w:val="42"/>
        <w:spacing w:before="156" w:after="156"/>
        <w:rPr>
          <w:rFonts w:hint="eastAsia"/>
        </w:rPr>
      </w:pPr>
      <w:r>
        <w:rPr>
          <w:rFonts w:hint="eastAsia"/>
        </w:rPr>
        <w:t>定制化模式电商化商品目录</w:t>
      </w:r>
    </w:p>
    <w:p>
      <w:pPr>
        <w:pStyle w:val="22"/>
        <w:rPr>
          <w:rFonts w:hint="eastAsia"/>
        </w:rPr>
      </w:pPr>
      <w:r>
        <w:rPr>
          <w:rFonts w:hint="eastAsia"/>
        </w:rPr>
        <w:t>应依据企业电商化采购范围，结合历史数据和年度费用计划，组织有关需求单位、专业管理部门集中确定。</w:t>
      </w:r>
    </w:p>
    <w:p>
      <w:pPr>
        <w:pStyle w:val="22"/>
        <w:rPr>
          <w:rFonts w:hint="eastAsia"/>
          <w:color w:val="000000"/>
        </w:rPr>
      </w:pPr>
      <w:r>
        <w:rPr>
          <w:rFonts w:hint="eastAsia"/>
        </w:rPr>
        <w:t>适用于个性化定制物资和服务，如：会议服务、科技服务、教育培训、广告服务、安全评估等。</w:t>
      </w:r>
    </w:p>
    <w:p>
      <w:pPr>
        <w:pStyle w:val="43"/>
        <w:rPr>
          <w:rFonts w:hint="eastAsia"/>
        </w:rPr>
      </w:pPr>
      <w:bookmarkStart w:id="43" w:name="_Toc27994197"/>
      <w:bookmarkEnd w:id="43"/>
      <w:r>
        <w:rPr>
          <w:rFonts w:hint="eastAsia"/>
        </w:rPr>
        <w:t>签订电子化合同</w:t>
      </w:r>
    </w:p>
    <w:p>
      <w:pPr>
        <w:pStyle w:val="42"/>
        <w:spacing w:before="156" w:after="156"/>
        <w:rPr>
          <w:rFonts w:hint="eastAsia"/>
        </w:rPr>
      </w:pPr>
      <w:r>
        <w:rPr>
          <w:rFonts w:hint="eastAsia"/>
        </w:rPr>
        <w:t>确定合同文本</w:t>
      </w:r>
    </w:p>
    <w:p>
      <w:pPr>
        <w:pStyle w:val="22"/>
        <w:rPr>
          <w:rFonts w:hint="eastAsia"/>
        </w:rPr>
      </w:pPr>
      <w:r>
        <w:rPr>
          <w:rFonts w:hint="eastAsia"/>
        </w:rPr>
        <w:t>通过采购程序确定成交人，成交通知书发出后，企业合同管理部门应根据采购结果，与供应商协商后，对合同非实质性内容进行补充或细化。</w:t>
      </w:r>
    </w:p>
    <w:p>
      <w:pPr>
        <w:pStyle w:val="22"/>
        <w:rPr>
          <w:rFonts w:hint="eastAsia"/>
        </w:rPr>
      </w:pPr>
      <w:r>
        <w:rPr>
          <w:rFonts w:hint="eastAsia"/>
        </w:rPr>
        <w:t>采购人应对合同双方提出的相关补充、细化条款的合法性和合理性进行分析，发现可能损害企业的合法利益、增加了企业的义务、背离了采购文件和成交供应商响应文件的实质性内容的，采购人应及时告知企业合同管理部门并提出预防风险的建议。</w:t>
      </w:r>
    </w:p>
    <w:p>
      <w:pPr>
        <w:pStyle w:val="42"/>
        <w:spacing w:before="156" w:after="156"/>
        <w:rPr>
          <w:rFonts w:hint="eastAsia"/>
        </w:rPr>
      </w:pPr>
      <w:r>
        <w:rPr>
          <w:rFonts w:hint="eastAsia"/>
        </w:rPr>
        <w:t>签订框架合同</w:t>
      </w:r>
    </w:p>
    <w:p>
      <w:pPr>
        <w:pStyle w:val="22"/>
        <w:rPr>
          <w:rFonts w:hint="eastAsia"/>
        </w:rPr>
      </w:pPr>
      <w:r>
        <w:rPr>
          <w:rFonts w:hint="eastAsia" w:hAnsi="宋体"/>
        </w:rPr>
        <w:t>采购人和成交供应商应在双方约定的期限内签订合同，并进行备案、报告。其中，招标采购项目应在发出中标通知书</w:t>
      </w:r>
      <w:r>
        <w:rPr>
          <w:rFonts w:hint="eastAsia"/>
        </w:rPr>
        <w:t>30日内签订合同。由于成交人拒绝签订合同，未按照采购文件规定的形式、金额、递交时间等要求提交履约保证金或其他原因导致在规定期限内合同无法签订的，采购人应及时采取补救措施。</w:t>
      </w:r>
    </w:p>
    <w:p>
      <w:pPr>
        <w:pStyle w:val="22"/>
        <w:rPr>
          <w:rFonts w:hint="eastAsia"/>
        </w:rPr>
      </w:pPr>
      <w:r>
        <w:rPr>
          <w:rFonts w:hint="eastAsia" w:hAnsi="宋体"/>
        </w:rPr>
        <w:t>采购人无需针对订单与供应商单独签订合同，各需求单位通过线上下单采购供应商产品，即视为各需求单位、供应商均接受所签署框架合同的相关权利、义务条款，并认可采购活动中的相关文件约定。该合同签订模式须在采购文件中提前约定。</w:t>
      </w:r>
    </w:p>
    <w:p>
      <w:pPr>
        <w:pStyle w:val="22"/>
        <w:rPr>
          <w:rFonts w:hint="eastAsia"/>
        </w:rPr>
      </w:pPr>
      <w:r>
        <w:rPr>
          <w:rFonts w:hint="eastAsia" w:hAnsi="宋体"/>
        </w:rPr>
        <w:t>电商化物资采购合同的终止与延期按照合同约定执行。</w:t>
      </w:r>
    </w:p>
    <w:p>
      <w:pPr>
        <w:pStyle w:val="42"/>
        <w:spacing w:before="156" w:after="156"/>
        <w:rPr>
          <w:rFonts w:hint="eastAsia"/>
        </w:rPr>
      </w:pPr>
      <w:r>
        <w:rPr>
          <w:rFonts w:hint="eastAsia"/>
        </w:rPr>
        <w:t>签订供应商入驻协议</w:t>
      </w:r>
    </w:p>
    <w:p>
      <w:pPr>
        <w:pStyle w:val="22"/>
        <w:rPr>
          <w:rFonts w:hint="eastAsia"/>
        </w:rPr>
      </w:pPr>
      <w:r>
        <w:rPr>
          <w:rFonts w:hint="eastAsia"/>
        </w:rPr>
        <w:t>商城应按公司法务要求与供应商签订商城入驻协议。</w:t>
      </w:r>
    </w:p>
    <w:p>
      <w:pPr>
        <w:pStyle w:val="42"/>
        <w:spacing w:before="156" w:after="156"/>
        <w:rPr>
          <w:rFonts w:hint="eastAsia"/>
        </w:rPr>
      </w:pPr>
      <w:r>
        <w:rPr>
          <w:rFonts w:hint="eastAsia"/>
        </w:rPr>
        <w:t>签订委托收款协</w:t>
      </w:r>
      <w:r>
        <w:rPr>
          <w:rFonts w:hint="eastAsia" w:hAnsi="黑体"/>
        </w:rPr>
        <w:t>议</w:t>
      </w:r>
    </w:p>
    <w:p>
      <w:pPr>
        <w:pStyle w:val="22"/>
        <w:rPr>
          <w:rFonts w:hint="eastAsia"/>
        </w:rPr>
      </w:pPr>
      <w:r>
        <w:rPr>
          <w:rFonts w:hint="eastAsia"/>
        </w:rPr>
        <w:t>商城应按公司法务要求与供应商签订委托收款协议。</w:t>
      </w:r>
    </w:p>
    <w:p>
      <w:pPr>
        <w:pStyle w:val="43"/>
        <w:rPr>
          <w:rFonts w:hint="eastAsia"/>
        </w:rPr>
      </w:pPr>
      <w:bookmarkStart w:id="44" w:name="_Toc27994198"/>
      <w:bookmarkEnd w:id="44"/>
      <w:r>
        <w:rPr>
          <w:rFonts w:hint="eastAsia"/>
        </w:rPr>
        <w:t>管理供应商入驻</w:t>
      </w:r>
    </w:p>
    <w:p>
      <w:pPr>
        <w:pStyle w:val="42"/>
        <w:spacing w:before="156" w:after="156"/>
        <w:rPr>
          <w:rFonts w:hint="eastAsia"/>
        </w:rPr>
      </w:pPr>
      <w:r>
        <w:rPr>
          <w:rFonts w:hint="eastAsia"/>
        </w:rPr>
        <w:t>供应商入驻</w:t>
      </w:r>
    </w:p>
    <w:p>
      <w:pPr>
        <w:pStyle w:val="22"/>
        <w:rPr>
          <w:rFonts w:hint="eastAsia"/>
        </w:rPr>
      </w:pPr>
      <w:r>
        <w:rPr>
          <w:rFonts w:hint="eastAsia"/>
        </w:rPr>
        <w:t>入围供应商与采购人签订完采购框架协议后，采购人物资管理部门应提供供应商注册编码。供应商录入基本信息，提交网上商城入驻申请。</w:t>
      </w:r>
    </w:p>
    <w:p>
      <w:pPr>
        <w:pStyle w:val="45"/>
        <w:spacing w:before="156" w:after="156"/>
        <w:rPr>
          <w:rFonts w:hint="eastAsia"/>
        </w:rPr>
      </w:pPr>
      <w:r>
        <w:rPr>
          <w:rFonts w:hint="eastAsia"/>
        </w:rPr>
        <w:t>受理供应商准入</w:t>
      </w:r>
    </w:p>
    <w:p>
      <w:pPr>
        <w:pStyle w:val="22"/>
        <w:rPr>
          <w:rFonts w:hint="eastAsia"/>
        </w:rPr>
      </w:pPr>
      <w:r>
        <w:rPr>
          <w:rFonts w:hint="eastAsia"/>
        </w:rPr>
        <w:t>网上商城运营人员应根据协议核实供应商身份，审核注册编码信息信息无误后，对照供应商生产经营类别，批准商城账号。</w:t>
      </w:r>
    </w:p>
    <w:p>
      <w:pPr>
        <w:pStyle w:val="45"/>
        <w:spacing w:before="156" w:after="156"/>
        <w:rPr>
          <w:rFonts w:hint="eastAsia"/>
        </w:rPr>
      </w:pPr>
      <w:r>
        <w:rPr>
          <w:rFonts w:hint="eastAsia"/>
        </w:rPr>
        <w:t>供应商申请入驻</w:t>
      </w:r>
    </w:p>
    <w:p>
      <w:pPr>
        <w:pStyle w:val="22"/>
        <w:rPr>
          <w:rFonts w:hint="eastAsia"/>
        </w:rPr>
      </w:pPr>
      <w:r>
        <w:rPr>
          <w:rFonts w:hint="eastAsia"/>
        </w:rPr>
        <w:t>供应商通过准入审核后，应使用已批准的商城账号登陆网上商城维护相关信息（包括公司信息、银行信息、店铺信息、资质信息等），并提交开设店铺申请。</w:t>
      </w:r>
    </w:p>
    <w:p>
      <w:pPr>
        <w:pStyle w:val="45"/>
        <w:spacing w:before="156" w:after="156"/>
        <w:rPr>
          <w:rFonts w:hint="eastAsia"/>
        </w:rPr>
      </w:pPr>
      <w:r>
        <w:rPr>
          <w:rFonts w:hint="eastAsia"/>
        </w:rPr>
        <w:t>审核供应商入驻</w:t>
      </w:r>
    </w:p>
    <w:p>
      <w:pPr>
        <w:pStyle w:val="22"/>
        <w:rPr>
          <w:rFonts w:hint="eastAsia"/>
        </w:rPr>
      </w:pPr>
      <w:r>
        <w:rPr>
          <w:rFonts w:hint="eastAsia"/>
        </w:rPr>
        <w:t>运营人员应对供应商申请材料的准确性和完整性进行审查，确认供应商入驻开设店铺申请是否通过，若审查不通过应退回申请至供应商，重新进行材料递交。</w:t>
      </w:r>
    </w:p>
    <w:p>
      <w:pPr>
        <w:pStyle w:val="42"/>
        <w:spacing w:before="156" w:after="156"/>
        <w:rPr>
          <w:rFonts w:hint="eastAsia"/>
        </w:rPr>
      </w:pPr>
      <w:r>
        <w:rPr>
          <w:rFonts w:hint="eastAsia"/>
        </w:rPr>
        <w:t>分类上架商品</w:t>
      </w:r>
    </w:p>
    <w:p>
      <w:pPr>
        <w:pStyle w:val="22"/>
        <w:rPr>
          <w:rFonts w:hint="eastAsia"/>
        </w:rPr>
      </w:pPr>
      <w:r>
        <w:rPr>
          <w:rFonts w:hint="eastAsia"/>
        </w:rPr>
        <w:t>采购人与供应商应形成电子合同，并在网上商城中进行维护。</w:t>
      </w:r>
    </w:p>
    <w:p>
      <w:pPr>
        <w:pStyle w:val="22"/>
        <w:rPr>
          <w:rFonts w:hint="eastAsia"/>
        </w:rPr>
      </w:pPr>
      <w:r>
        <w:rPr>
          <w:rFonts w:hint="eastAsia"/>
        </w:rPr>
        <w:t>采购人和供应商应按照采购合同在网上商城进行商品上架，上架商品按照价格模式分为实时价模式商品、固定价模式商品和定制化模式商品。</w:t>
      </w:r>
    </w:p>
    <w:p>
      <w:pPr>
        <w:pStyle w:val="22"/>
        <w:rPr>
          <w:rFonts w:hint="eastAsia"/>
        </w:rPr>
      </w:pPr>
      <w:r>
        <w:rPr>
          <w:rFonts w:hint="eastAsia"/>
        </w:rPr>
        <w:t>实时价模式商品上架时，网上商城与供应商商品信息系统进行对接，商城价格遵循协议固定折扣，随供应商商品信息系统实时交互变动，即实行实时价推送+折扣率的定价方式。此模式适用于竞争充分、市场价格透明的通用性物资、服务等，如办公用品、办公日用、办公电器、部分劳保用品、打印服务、绿植租摆服务等。</w:t>
      </w:r>
    </w:p>
    <w:p>
      <w:pPr>
        <w:pStyle w:val="22"/>
        <w:rPr>
          <w:rFonts w:hint="eastAsia"/>
        </w:rPr>
      </w:pPr>
      <w:r>
        <w:rPr>
          <w:rFonts w:hint="eastAsia"/>
        </w:rPr>
        <w:t>固定价模式商品上架时，供应商应严格按照协议价格定义商品单价。此模式适用于商品技术要求明确，社会成熟电商自营范围之外或覆盖不全，生产运维业务中广泛使用的零星物资，如配件、工器具、仪器仪表、办公家具、低压电器、五金建材、化工等。</w:t>
      </w:r>
    </w:p>
    <w:p>
      <w:pPr>
        <w:pStyle w:val="45"/>
        <w:spacing w:before="156" w:after="156"/>
        <w:rPr>
          <w:rFonts w:hint="eastAsia"/>
        </w:rPr>
      </w:pPr>
      <w:r>
        <w:rPr>
          <w:rFonts w:hint="eastAsia"/>
        </w:rPr>
        <w:t>上架实时价模式商品</w:t>
      </w:r>
    </w:p>
    <w:p>
      <w:pPr>
        <w:pStyle w:val="22"/>
        <w:rPr>
          <w:rFonts w:hint="eastAsia"/>
        </w:rPr>
      </w:pPr>
      <w:r>
        <w:rPr>
          <w:rFonts w:hint="eastAsia"/>
        </w:rPr>
        <w:t>采购人负责在网上商城中导入成交采购目录的商品品类，并组织供应商将网上商城采购管控平台与供应商信息系统进行全面对接，实现商品描述、价格、物流、库存等信息与供应商实时交互。</w:t>
      </w:r>
    </w:p>
    <w:p>
      <w:pPr>
        <w:pStyle w:val="45"/>
        <w:spacing w:before="156" w:after="156"/>
        <w:rPr>
          <w:rFonts w:hint="eastAsia"/>
        </w:rPr>
      </w:pPr>
      <w:r>
        <w:rPr>
          <w:rFonts w:hint="eastAsia"/>
        </w:rPr>
        <w:t>上架固定价模式商品</w:t>
      </w:r>
    </w:p>
    <w:p>
      <w:pPr>
        <w:pStyle w:val="22"/>
        <w:rPr>
          <w:rFonts w:hint="eastAsia"/>
        </w:rPr>
      </w:pPr>
      <w:r>
        <w:rPr>
          <w:rFonts w:hint="eastAsia"/>
        </w:rPr>
        <w:t>采购人负责在网上商城导入成交采购目录的商品信息，信息应包括商品品牌、规格型号、技术要求、物料编码、成交单价等，并组织供应商维护商品信息（包括生产厂家、图片、规格等）。</w:t>
      </w:r>
    </w:p>
    <w:p>
      <w:pPr>
        <w:pStyle w:val="45"/>
        <w:spacing w:before="156" w:after="156"/>
        <w:rPr>
          <w:rFonts w:hint="eastAsia"/>
        </w:rPr>
      </w:pPr>
      <w:r>
        <w:rPr>
          <w:rFonts w:hint="eastAsia"/>
        </w:rPr>
        <w:t>上架定制化模式商品</w:t>
      </w:r>
    </w:p>
    <w:p>
      <w:pPr>
        <w:pStyle w:val="22"/>
        <w:rPr>
          <w:rFonts w:hint="eastAsia"/>
        </w:rPr>
      </w:pPr>
      <w:r>
        <w:rPr>
          <w:rFonts w:hint="eastAsia"/>
        </w:rPr>
        <w:t>采购人负责在网上商城中导入成交采购目录的框架信息，包括框架的涵盖内容、入围供应商的第一阶段评分信息、入围供应商联系方式等基本信息，形成采购卡片。</w:t>
      </w:r>
    </w:p>
    <w:p>
      <w:pPr>
        <w:pStyle w:val="42"/>
        <w:spacing w:before="156" w:after="156"/>
        <w:rPr>
          <w:rFonts w:hint="eastAsia"/>
        </w:rPr>
      </w:pPr>
      <w:r>
        <w:rPr>
          <w:rFonts w:hint="eastAsia"/>
        </w:rPr>
        <w:t>对接接口形式</w:t>
      </w:r>
    </w:p>
    <w:p>
      <w:pPr>
        <w:pStyle w:val="22"/>
        <w:rPr>
          <w:rFonts w:hint="eastAsia"/>
        </w:rPr>
      </w:pPr>
      <w:r>
        <w:rPr>
          <w:rFonts w:hint="eastAsia" w:hAnsi="宋体"/>
        </w:rPr>
        <w:t>企业宜统一与各供应商间的商品数据接口形式。</w:t>
      </w:r>
    </w:p>
    <w:p>
      <w:pPr>
        <w:pStyle w:val="42"/>
        <w:spacing w:before="156" w:after="156"/>
        <w:rPr>
          <w:rFonts w:hint="eastAsia"/>
        </w:rPr>
      </w:pPr>
      <w:r>
        <w:rPr>
          <w:rFonts w:hint="eastAsia"/>
        </w:rPr>
        <w:t>管理物料编码</w:t>
      </w:r>
    </w:p>
    <w:p>
      <w:pPr>
        <w:pStyle w:val="22"/>
        <w:rPr>
          <w:rFonts w:hint="eastAsia"/>
          <w:highlight w:val="yellow"/>
        </w:rPr>
      </w:pPr>
      <w:r>
        <w:rPr>
          <w:rFonts w:hint="eastAsia"/>
        </w:rPr>
        <w:t>各网上商城应自动对商品进行唯一编码，并与物料编码、供应商商品编码、合同编码相对应。</w:t>
      </w:r>
    </w:p>
    <w:p>
      <w:pPr>
        <w:pStyle w:val="42"/>
        <w:spacing w:before="156" w:after="156"/>
        <w:rPr>
          <w:rFonts w:hint="eastAsia"/>
        </w:rPr>
      </w:pPr>
      <w:r>
        <w:rPr>
          <w:rFonts w:hint="eastAsia"/>
        </w:rPr>
        <w:t>管理商品价格</w:t>
      </w:r>
    </w:p>
    <w:p>
      <w:pPr>
        <w:pStyle w:val="22"/>
        <w:rPr>
          <w:rFonts w:hint="eastAsia"/>
        </w:rPr>
      </w:pPr>
      <w:r>
        <w:rPr>
          <w:rFonts w:hint="eastAsia"/>
        </w:rPr>
        <w:t>网上商城宜建立规范的价格管理制度，建立科学的、合理的商品价格指数，从而控制商城商品的价格，并可根据市场浮动进行调整，避免出现过高或过低的价格。</w:t>
      </w:r>
    </w:p>
    <w:p>
      <w:pPr>
        <w:pStyle w:val="42"/>
        <w:spacing w:before="156" w:after="156"/>
        <w:rPr>
          <w:rFonts w:hint="eastAsia"/>
        </w:rPr>
      </w:pPr>
      <w:r>
        <w:rPr>
          <w:rFonts w:hint="eastAsia"/>
        </w:rPr>
        <w:t>管理商品质量</w:t>
      </w:r>
    </w:p>
    <w:p>
      <w:pPr>
        <w:pStyle w:val="22"/>
        <w:rPr>
          <w:rFonts w:hint="eastAsia"/>
        </w:rPr>
      </w:pPr>
      <w:r>
        <w:rPr>
          <w:rFonts w:hint="eastAsia"/>
        </w:rPr>
        <w:t>网上商城宜建立有效的商品质量反馈机制，对商品与描述不符、商品质量存在问题且供应商未及时反应或商品质量存在严重问题的商品进行相应处置，并对供应商进行处置。</w:t>
      </w:r>
    </w:p>
    <w:p>
      <w:pPr>
        <w:pStyle w:val="42"/>
        <w:spacing w:before="156" w:after="156"/>
        <w:rPr>
          <w:rFonts w:hint="eastAsia"/>
        </w:rPr>
      </w:pPr>
      <w:r>
        <w:rPr>
          <w:rFonts w:hint="eastAsia"/>
        </w:rPr>
        <w:t>商品下架</w:t>
      </w:r>
    </w:p>
    <w:p>
      <w:pPr>
        <w:pStyle w:val="45"/>
        <w:spacing w:before="156" w:after="156"/>
        <w:rPr>
          <w:rFonts w:hint="eastAsia"/>
        </w:rPr>
      </w:pPr>
      <w:r>
        <w:rPr>
          <w:rFonts w:hint="eastAsia"/>
        </w:rPr>
        <w:t>协议期内，供应商申请下架</w:t>
      </w:r>
    </w:p>
    <w:p>
      <w:pPr>
        <w:pStyle w:val="22"/>
        <w:rPr>
          <w:rFonts w:hint="eastAsia"/>
        </w:rPr>
      </w:pPr>
      <w:r>
        <w:rPr>
          <w:rFonts w:hint="eastAsia"/>
        </w:rPr>
        <w:t>实时价模式电商化商品由供应商通过接口或商户中心申请下架，申请下架的商品无需审核即可下架。</w:t>
      </w:r>
    </w:p>
    <w:p>
      <w:pPr>
        <w:pStyle w:val="22"/>
        <w:rPr>
          <w:rFonts w:hint="eastAsia"/>
        </w:rPr>
      </w:pPr>
      <w:r>
        <w:rPr>
          <w:rFonts w:hint="eastAsia"/>
        </w:rPr>
        <w:t>固定价模式电商化商品下架，由供应商提交下架申请，经采购人侧审批同意后下架。</w:t>
      </w:r>
    </w:p>
    <w:p>
      <w:pPr>
        <w:pStyle w:val="45"/>
        <w:spacing w:before="156" w:after="156"/>
        <w:rPr>
          <w:rFonts w:hint="eastAsia"/>
        </w:rPr>
      </w:pPr>
      <w:r>
        <w:rPr>
          <w:rFonts w:hint="eastAsia"/>
        </w:rPr>
        <w:t>稽查违规下架</w:t>
      </w:r>
    </w:p>
    <w:p>
      <w:pPr>
        <w:pStyle w:val="22"/>
        <w:rPr>
          <w:rFonts w:hint="eastAsia"/>
        </w:rPr>
      </w:pPr>
      <w:r>
        <w:rPr>
          <w:rFonts w:hint="eastAsia"/>
        </w:rPr>
        <w:t>供应商商品出现价格、质量、服务等问题时，由平台运营侧提交下架申请，经采购人管理部门审核通过后对商品进行下架处理。</w:t>
      </w:r>
    </w:p>
    <w:p>
      <w:pPr>
        <w:pStyle w:val="22"/>
        <w:rPr>
          <w:rFonts w:hint="eastAsia"/>
        </w:rPr>
      </w:pPr>
      <w:r>
        <w:rPr>
          <w:rFonts w:hint="eastAsia"/>
        </w:rPr>
        <w:t>对于如操作失误、不影响产品使用的服务瑕疵等一般问题，下架的商品经供应商改正后可重新上架，上架流程于3.4.2一致，一般问题范围由各公司自行设定。</w:t>
      </w:r>
    </w:p>
    <w:p>
      <w:pPr>
        <w:pStyle w:val="22"/>
        <w:rPr>
          <w:rFonts w:hint="eastAsia"/>
        </w:rPr>
      </w:pPr>
      <w:r>
        <w:rPr>
          <w:rFonts w:hint="eastAsia"/>
        </w:rPr>
        <w:t>对于非一般问题或出现一般问题供应商不改正的，应对供应商进行处罚措施。</w:t>
      </w:r>
    </w:p>
    <w:p>
      <w:pPr>
        <w:pStyle w:val="45"/>
        <w:spacing w:before="156" w:after="156"/>
        <w:rPr>
          <w:rFonts w:hint="eastAsia"/>
        </w:rPr>
      </w:pPr>
      <w:r>
        <w:rPr>
          <w:rFonts w:hint="eastAsia"/>
        </w:rPr>
        <w:t>约定下架</w:t>
      </w:r>
    </w:p>
    <w:p>
      <w:pPr>
        <w:pStyle w:val="22"/>
        <w:rPr>
          <w:rFonts w:hint="eastAsia"/>
        </w:rPr>
      </w:pPr>
      <w:r>
        <w:rPr>
          <w:rFonts w:hint="eastAsia"/>
        </w:rPr>
        <w:t>平台运营侧可根据合同约定条款，对供应商商品进行下架操作。</w:t>
      </w:r>
    </w:p>
    <w:p>
      <w:pPr>
        <w:pStyle w:val="45"/>
        <w:spacing w:before="156" w:after="156"/>
        <w:rPr>
          <w:rFonts w:hint="eastAsia"/>
        </w:rPr>
      </w:pPr>
      <w:r>
        <w:rPr>
          <w:rFonts w:hint="eastAsia"/>
        </w:rPr>
        <w:t>协议期满</w:t>
      </w:r>
    </w:p>
    <w:p>
      <w:pPr>
        <w:pStyle w:val="22"/>
        <w:rPr>
          <w:rFonts w:hint="eastAsia"/>
        </w:rPr>
      </w:pPr>
      <w:r>
        <w:rPr>
          <w:rFonts w:hint="eastAsia"/>
        </w:rPr>
        <w:t>供应商合同期满时，平台应自动下架相关商品。</w:t>
      </w:r>
    </w:p>
    <w:p>
      <w:pPr>
        <w:pStyle w:val="43"/>
        <w:rPr>
          <w:rFonts w:hint="eastAsia"/>
        </w:rPr>
      </w:pPr>
      <w:r>
        <w:rPr>
          <w:rFonts w:hint="eastAsia"/>
        </w:rPr>
        <w:t>网上交易</w:t>
      </w:r>
    </w:p>
    <w:p>
      <w:pPr>
        <w:pStyle w:val="42"/>
        <w:spacing w:before="156" w:after="156"/>
        <w:rPr>
          <w:rFonts w:hint="eastAsia"/>
        </w:rPr>
      </w:pPr>
      <w:r>
        <w:rPr>
          <w:rFonts w:hint="eastAsia"/>
        </w:rPr>
        <w:t>请购下单</w:t>
      </w:r>
    </w:p>
    <w:p>
      <w:pPr>
        <w:pStyle w:val="45"/>
        <w:spacing w:before="156" w:after="156"/>
        <w:rPr>
          <w:rFonts w:hint="eastAsia"/>
        </w:rPr>
      </w:pPr>
      <w:r>
        <w:rPr>
          <w:rFonts w:hint="eastAsia"/>
        </w:rPr>
        <w:t>确定需求计划</w:t>
      </w:r>
    </w:p>
    <w:p>
      <w:pPr>
        <w:pStyle w:val="22"/>
        <w:rPr>
          <w:rFonts w:hint="eastAsia"/>
        </w:rPr>
      </w:pPr>
      <w:r>
        <w:rPr>
          <w:rFonts w:hint="eastAsia"/>
        </w:rPr>
        <w:t>采购人根据年度综合计划和预算，结合历年需求进行科学预测，形成合理、准确的需求计划。</w:t>
      </w:r>
    </w:p>
    <w:p>
      <w:pPr>
        <w:pStyle w:val="22"/>
        <w:rPr>
          <w:rFonts w:hint="eastAsia"/>
        </w:rPr>
      </w:pPr>
      <w:r>
        <w:rPr>
          <w:rFonts w:hint="eastAsia"/>
        </w:rPr>
        <w:t>需求计划内容宜考虑供货地域性、特殊个性化的需求。</w:t>
      </w:r>
    </w:p>
    <w:p>
      <w:pPr>
        <w:pStyle w:val="45"/>
        <w:spacing w:before="156" w:after="156"/>
        <w:rPr>
          <w:rFonts w:hint="eastAsia"/>
        </w:rPr>
      </w:pPr>
      <w:r>
        <w:rPr>
          <w:rFonts w:hint="eastAsia"/>
        </w:rPr>
        <w:t>请购商品</w:t>
      </w:r>
    </w:p>
    <w:p>
      <w:pPr>
        <w:pStyle w:val="22"/>
        <w:rPr>
          <w:rFonts w:hint="eastAsia"/>
        </w:rPr>
      </w:pPr>
      <w:r>
        <w:rPr>
          <w:rFonts w:hint="eastAsia"/>
        </w:rPr>
        <w:t>企业宜根据内部采购管理规范制定采购操作流程，由采购操作人员在商城按照需求选购（可选购一个或多个商品）形成选购单。</w:t>
      </w:r>
    </w:p>
    <w:p>
      <w:pPr>
        <w:pStyle w:val="45"/>
        <w:spacing w:before="156" w:after="156"/>
        <w:rPr>
          <w:rFonts w:hint="eastAsia"/>
        </w:rPr>
      </w:pPr>
      <w:r>
        <w:rPr>
          <w:rFonts w:hint="eastAsia"/>
        </w:rPr>
        <w:t>商品比价</w:t>
      </w:r>
    </w:p>
    <w:p>
      <w:pPr>
        <w:pStyle w:val="22"/>
        <w:rPr>
          <w:rFonts w:hint="eastAsia"/>
        </w:rPr>
      </w:pPr>
      <w:r>
        <w:rPr>
          <w:rFonts w:hint="eastAsia"/>
        </w:rPr>
        <w:t>网上商城宜具备某类商品可与其它电子商务平台（至少三家）同类商品进行价格比较。</w:t>
      </w:r>
    </w:p>
    <w:p>
      <w:pPr>
        <w:pStyle w:val="45"/>
        <w:spacing w:before="156" w:after="156"/>
        <w:rPr>
          <w:rFonts w:hint="eastAsia"/>
        </w:rPr>
      </w:pPr>
      <w:r>
        <w:rPr>
          <w:rFonts w:hint="eastAsia"/>
        </w:rPr>
        <w:t>采购限额</w:t>
      </w:r>
    </w:p>
    <w:p>
      <w:pPr>
        <w:pStyle w:val="22"/>
        <w:rPr>
          <w:rFonts w:hint="eastAsia"/>
        </w:rPr>
      </w:pPr>
      <w:r>
        <w:rPr>
          <w:rFonts w:hint="eastAsia"/>
        </w:rPr>
        <w:t>商城宜具备采购限额设置功能，企业根据自身内部情况，可以选择是否设置单次采购最高限额、中标金额、平均供应商采购额等。</w:t>
      </w:r>
    </w:p>
    <w:p>
      <w:pPr>
        <w:pStyle w:val="45"/>
        <w:spacing w:before="156" w:after="156"/>
        <w:rPr>
          <w:rFonts w:hint="eastAsia"/>
        </w:rPr>
      </w:pPr>
      <w:r>
        <w:rPr>
          <w:rFonts w:hint="eastAsia"/>
        </w:rPr>
        <w:t>审批选购单</w:t>
      </w:r>
    </w:p>
    <w:p>
      <w:pPr>
        <w:pStyle w:val="22"/>
        <w:rPr>
          <w:rFonts w:hint="eastAsia"/>
        </w:rPr>
      </w:pPr>
      <w:r>
        <w:rPr>
          <w:rFonts w:hint="eastAsia"/>
        </w:rPr>
        <w:t>企业宜根据内部采购管理规范制定采购审批流程，根据内部情况设置相应级别的审批权限，对选购单进行审批，形成订单。</w:t>
      </w:r>
    </w:p>
    <w:p>
      <w:pPr>
        <w:pStyle w:val="45"/>
        <w:spacing w:before="156" w:after="156"/>
        <w:rPr>
          <w:rFonts w:hint="eastAsia"/>
        </w:rPr>
      </w:pPr>
      <w:r>
        <w:rPr>
          <w:rFonts w:hint="eastAsia"/>
        </w:rPr>
        <w:t>发送订单</w:t>
      </w:r>
    </w:p>
    <w:p>
      <w:pPr>
        <w:pStyle w:val="22"/>
        <w:rPr>
          <w:rFonts w:hint="eastAsia"/>
        </w:rPr>
      </w:pPr>
      <w:r>
        <w:rPr>
          <w:rFonts w:hint="eastAsia"/>
        </w:rPr>
        <w:t>宜具备订单详情查看，选购单通过审批后，生成订单并向相关供应商发送订单，采购人可在线查看订单详情、状态。</w:t>
      </w:r>
    </w:p>
    <w:p>
      <w:pPr>
        <w:pStyle w:val="45"/>
        <w:spacing w:before="156" w:after="156"/>
        <w:rPr>
          <w:rFonts w:hint="eastAsia"/>
        </w:rPr>
      </w:pPr>
      <w:r>
        <w:rPr>
          <w:rFonts w:hint="eastAsia"/>
        </w:rPr>
        <w:t>归档订单数据</w:t>
      </w:r>
    </w:p>
    <w:p>
      <w:pPr>
        <w:pStyle w:val="22"/>
        <w:rPr>
          <w:rFonts w:hint="eastAsia"/>
        </w:rPr>
      </w:pPr>
      <w:r>
        <w:rPr>
          <w:rFonts w:hint="eastAsia"/>
        </w:rPr>
        <w:t>应建立完备的数据资源库，对订单按时间、类型、金额等进行分类归档管理，可随时筛选查看订单记录、订单详情。</w:t>
      </w:r>
    </w:p>
    <w:p>
      <w:pPr>
        <w:pStyle w:val="42"/>
        <w:spacing w:before="156" w:after="156"/>
        <w:rPr>
          <w:rFonts w:hint="eastAsia"/>
        </w:rPr>
      </w:pPr>
      <w:r>
        <w:rPr>
          <w:rFonts w:hint="eastAsia"/>
        </w:rPr>
        <w:t>供应管理</w:t>
      </w:r>
    </w:p>
    <w:p>
      <w:pPr>
        <w:pStyle w:val="45"/>
        <w:spacing w:before="156" w:after="156"/>
        <w:rPr>
          <w:rFonts w:hint="eastAsia"/>
        </w:rPr>
      </w:pPr>
      <w:r>
        <w:rPr>
          <w:rFonts w:hint="eastAsia"/>
        </w:rPr>
        <w:t>物流数据接口</w:t>
      </w:r>
    </w:p>
    <w:p>
      <w:pPr>
        <w:pStyle w:val="22"/>
        <w:rPr>
          <w:rFonts w:hint="eastAsia"/>
        </w:rPr>
      </w:pPr>
      <w:r>
        <w:rPr>
          <w:rFonts w:hint="eastAsia"/>
        </w:rPr>
        <w:t>企业宜统一与各供应商间的物流数据接口形式。</w:t>
      </w:r>
    </w:p>
    <w:p>
      <w:pPr>
        <w:pStyle w:val="45"/>
        <w:spacing w:before="156" w:after="156"/>
        <w:rPr>
          <w:rFonts w:hint="eastAsia"/>
        </w:rPr>
      </w:pPr>
      <w:r>
        <w:rPr>
          <w:rFonts w:hint="eastAsia"/>
        </w:rPr>
        <w:t>物资类产品配送</w:t>
      </w:r>
    </w:p>
    <w:p>
      <w:pPr>
        <w:pStyle w:val="22"/>
        <w:rPr>
          <w:rFonts w:hint="eastAsia"/>
        </w:rPr>
      </w:pPr>
      <w:r>
        <w:rPr>
          <w:rFonts w:hint="eastAsia"/>
        </w:rPr>
        <w:t>企业宜制定物资类商品不同品类、急需程度、价值高低等规定相应的配送要求，如方式、时间、是否送达到规定人员等。</w:t>
      </w:r>
    </w:p>
    <w:p>
      <w:pPr>
        <w:pStyle w:val="45"/>
        <w:spacing w:before="156" w:after="156"/>
        <w:rPr>
          <w:rFonts w:hint="eastAsia"/>
        </w:rPr>
      </w:pPr>
      <w:r>
        <w:rPr>
          <w:rFonts w:hint="eastAsia"/>
        </w:rPr>
        <w:t>服务类产品配送</w:t>
      </w:r>
    </w:p>
    <w:p>
      <w:pPr>
        <w:pStyle w:val="22"/>
        <w:rPr>
          <w:rFonts w:hint="eastAsia"/>
        </w:rPr>
      </w:pPr>
      <w:r>
        <w:rPr>
          <w:rFonts w:hint="eastAsia"/>
        </w:rPr>
        <w:t>企业宜制定明确的服务监督、进度跟踪、验收机制。</w:t>
      </w:r>
    </w:p>
    <w:p>
      <w:pPr>
        <w:pStyle w:val="45"/>
        <w:spacing w:before="156" w:after="156"/>
        <w:rPr>
          <w:rFonts w:hint="eastAsia"/>
        </w:rPr>
      </w:pPr>
      <w:r>
        <w:rPr>
          <w:rFonts w:hint="eastAsia"/>
        </w:rPr>
        <w:t>物流数据信息管理</w:t>
      </w:r>
    </w:p>
    <w:p>
      <w:pPr>
        <w:pStyle w:val="22"/>
        <w:rPr>
          <w:rFonts w:hint="eastAsia"/>
        </w:rPr>
      </w:pPr>
      <w:r>
        <w:rPr>
          <w:rFonts w:hint="eastAsia"/>
        </w:rPr>
        <w:t>物流数据信息包括商品配送过程、服务跟踪、退换货跟踪、验收过程中产生的信息。</w:t>
      </w:r>
    </w:p>
    <w:p>
      <w:pPr>
        <w:pStyle w:val="22"/>
        <w:rPr>
          <w:rFonts w:hint="eastAsia"/>
        </w:rPr>
      </w:pPr>
      <w:r>
        <w:rPr>
          <w:rFonts w:hint="eastAsia"/>
        </w:rPr>
        <w:t>企业宜与第三方物流机构共同搭建物流数据信息管理系统。物流数据信息管理收集订单配送状态，供应商、采购人可随时查看货物配送情况，有效监管配送时效、货物情况。</w:t>
      </w:r>
    </w:p>
    <w:p>
      <w:pPr>
        <w:pStyle w:val="45"/>
        <w:spacing w:before="156" w:after="156"/>
        <w:rPr>
          <w:rFonts w:hint="eastAsia"/>
        </w:rPr>
      </w:pPr>
      <w:r>
        <w:rPr>
          <w:rFonts w:hint="eastAsia"/>
        </w:rPr>
        <w:t>库存管理</w:t>
      </w:r>
    </w:p>
    <w:p>
      <w:pPr>
        <w:pStyle w:val="22"/>
        <w:rPr>
          <w:rFonts w:hint="eastAsia"/>
        </w:rPr>
      </w:pPr>
      <w:r>
        <w:rPr>
          <w:rFonts w:hint="eastAsia"/>
        </w:rPr>
        <w:t>网上商城宜与第三方共同建立供应商库存监管系统。实时展示供应商真实商品库存，保证采购人下单后能够及时收货，辅助供应商库存水位管理。</w:t>
      </w:r>
    </w:p>
    <w:p>
      <w:pPr>
        <w:pStyle w:val="42"/>
        <w:spacing w:before="156" w:after="156"/>
        <w:rPr>
          <w:rFonts w:hint="eastAsia"/>
        </w:rPr>
      </w:pPr>
      <w:r>
        <w:rPr>
          <w:rFonts w:hint="eastAsia"/>
        </w:rPr>
        <w:t>验收管理</w:t>
      </w:r>
    </w:p>
    <w:p>
      <w:pPr>
        <w:pStyle w:val="22"/>
        <w:rPr>
          <w:rFonts w:hint="eastAsia"/>
        </w:rPr>
      </w:pPr>
      <w:r>
        <w:rPr>
          <w:rFonts w:hint="eastAsia"/>
        </w:rPr>
        <w:t>应对不同的商品进行分类、分级制定相应的验收程序，并根据不同分类、分级规定相关行业、级别的验收人员进行验收，建立起专业严格的质量验收管理机制。</w:t>
      </w:r>
    </w:p>
    <w:p>
      <w:pPr>
        <w:pStyle w:val="45"/>
        <w:spacing w:before="156" w:after="156"/>
        <w:rPr>
          <w:rFonts w:hint="eastAsia"/>
        </w:rPr>
      </w:pPr>
      <w:r>
        <w:rPr>
          <w:rFonts w:hint="eastAsia"/>
        </w:rPr>
        <w:t>验收申请</w:t>
      </w:r>
    </w:p>
    <w:p>
      <w:pPr>
        <w:pStyle w:val="22"/>
        <w:rPr>
          <w:rFonts w:hint="eastAsia"/>
        </w:rPr>
      </w:pPr>
      <w:r>
        <w:rPr>
          <w:rFonts w:hint="eastAsia"/>
        </w:rPr>
        <w:t>网上商城宜具备供应商验收申请，供应商可提醒采购人及时验收货物、服务是否满足要求。</w:t>
      </w:r>
    </w:p>
    <w:p>
      <w:pPr>
        <w:pStyle w:val="45"/>
        <w:spacing w:before="156" w:after="156"/>
        <w:rPr>
          <w:rFonts w:hint="eastAsia"/>
        </w:rPr>
      </w:pPr>
      <w:r>
        <w:rPr>
          <w:rFonts w:hint="eastAsia"/>
        </w:rPr>
        <w:t>服务确认</w:t>
      </w:r>
    </w:p>
    <w:p>
      <w:pPr>
        <w:pStyle w:val="22"/>
        <w:rPr>
          <w:rFonts w:hint="eastAsia"/>
        </w:rPr>
      </w:pPr>
      <w:r>
        <w:rPr>
          <w:rFonts w:hint="eastAsia" w:hAnsi="宋体"/>
        </w:rPr>
        <w:t>宜具备服务结果确认，向供应商反馈此次服务是否达到要求，服务确认后此次交易活动结束。</w:t>
      </w:r>
    </w:p>
    <w:p>
      <w:pPr>
        <w:pStyle w:val="45"/>
        <w:spacing w:before="156" w:after="156"/>
        <w:rPr>
          <w:rFonts w:hint="eastAsia"/>
        </w:rPr>
      </w:pPr>
      <w:r>
        <w:rPr>
          <w:rFonts w:hint="eastAsia"/>
        </w:rPr>
        <w:t>到货验收</w:t>
      </w:r>
    </w:p>
    <w:p>
      <w:pPr>
        <w:pStyle w:val="22"/>
        <w:rPr>
          <w:rFonts w:hint="eastAsia"/>
        </w:rPr>
      </w:pPr>
      <w:r>
        <w:rPr>
          <w:rFonts w:hint="eastAsia" w:hAnsi="宋体"/>
        </w:rPr>
        <w:t>应根据商品分类、分级执行相应的验收程序，验收确认无误后此次交易活动结束。</w:t>
      </w:r>
    </w:p>
    <w:p>
      <w:pPr>
        <w:pStyle w:val="42"/>
        <w:spacing w:before="156" w:after="156"/>
        <w:rPr>
          <w:rFonts w:hint="eastAsia"/>
        </w:rPr>
      </w:pPr>
      <w:r>
        <w:rPr>
          <w:rFonts w:hint="eastAsia"/>
        </w:rPr>
        <w:t>退换货</w:t>
      </w:r>
    </w:p>
    <w:p>
      <w:pPr>
        <w:pStyle w:val="22"/>
        <w:rPr>
          <w:rFonts w:hint="eastAsia"/>
        </w:rPr>
      </w:pPr>
      <w:r>
        <w:rPr>
          <w:rFonts w:hint="eastAsia" w:hAnsi="宋体"/>
        </w:rPr>
        <w:t>商城应根据质量验收管理机制，针对不合格商品进行退换货处理，制定退货与换货相应规则，并提前告知供应商。</w:t>
      </w:r>
    </w:p>
    <w:p>
      <w:pPr>
        <w:pStyle w:val="42"/>
        <w:spacing w:before="156" w:after="156"/>
        <w:rPr>
          <w:rFonts w:hint="eastAsia"/>
        </w:rPr>
      </w:pPr>
      <w:r>
        <w:rPr>
          <w:rFonts w:hint="eastAsia"/>
        </w:rPr>
        <w:t>支付</w:t>
      </w:r>
    </w:p>
    <w:p>
      <w:pPr>
        <w:pStyle w:val="45"/>
        <w:spacing w:before="156" w:after="156"/>
        <w:rPr>
          <w:rFonts w:hint="eastAsia"/>
        </w:rPr>
      </w:pPr>
      <w:r>
        <w:rPr>
          <w:rFonts w:hint="eastAsia"/>
        </w:rPr>
        <w:t>发票申请</w:t>
      </w:r>
    </w:p>
    <w:p>
      <w:pPr>
        <w:pStyle w:val="22"/>
        <w:rPr>
          <w:rFonts w:hint="eastAsia"/>
        </w:rPr>
      </w:pPr>
      <w:r>
        <w:rPr>
          <w:rFonts w:hint="eastAsia" w:hAnsi="宋体"/>
        </w:rPr>
        <w:t>应具备向供应商开具发票功能，根据供应商选择订单开具相应发票，并及时邮寄。</w:t>
      </w:r>
    </w:p>
    <w:p>
      <w:pPr>
        <w:pStyle w:val="45"/>
        <w:spacing w:before="156" w:after="156"/>
        <w:rPr>
          <w:rFonts w:hint="eastAsia"/>
        </w:rPr>
      </w:pPr>
      <w:r>
        <w:rPr>
          <w:rFonts w:hint="eastAsia"/>
        </w:rPr>
        <w:t>发票验收</w:t>
      </w:r>
    </w:p>
    <w:p>
      <w:pPr>
        <w:pStyle w:val="22"/>
        <w:rPr>
          <w:rFonts w:hint="eastAsia"/>
        </w:rPr>
      </w:pPr>
      <w:r>
        <w:rPr>
          <w:rFonts w:hint="eastAsia" w:hAnsi="宋体"/>
        </w:rPr>
        <w:t>商城宜具备发票查验功能。</w:t>
      </w:r>
    </w:p>
    <w:p>
      <w:pPr>
        <w:pStyle w:val="45"/>
        <w:spacing w:before="156" w:after="156"/>
        <w:rPr>
          <w:rFonts w:hint="eastAsia"/>
        </w:rPr>
      </w:pPr>
      <w:r>
        <w:rPr>
          <w:rFonts w:hint="eastAsia"/>
        </w:rPr>
        <w:t>支付管理</w:t>
      </w:r>
    </w:p>
    <w:p>
      <w:pPr>
        <w:pStyle w:val="22"/>
        <w:rPr>
          <w:rFonts w:hint="eastAsia"/>
        </w:rPr>
      </w:pPr>
      <w:r>
        <w:rPr>
          <w:rFonts w:hint="eastAsia" w:hAnsi="宋体"/>
        </w:rPr>
        <w:t>企业根据自身支付流程配置支付功能。</w:t>
      </w:r>
    </w:p>
    <w:p>
      <w:pPr>
        <w:pStyle w:val="22"/>
        <w:rPr>
          <w:rFonts w:hint="eastAsia"/>
        </w:rPr>
      </w:pPr>
      <w:r>
        <w:rPr>
          <w:rFonts w:hint="eastAsia" w:hAnsi="宋体"/>
        </w:rPr>
        <w:t>商城可与第三方金融机构共同建设支付管理功能，提供多种支付渠道、多种支付方式，财务人员可选择多订单合并支付，根据订单状态支付。支付过程中应提供安全的支付环境。</w:t>
      </w:r>
    </w:p>
    <w:p>
      <w:pPr>
        <w:pStyle w:val="45"/>
        <w:spacing w:before="156" w:after="156"/>
        <w:rPr>
          <w:rFonts w:hint="eastAsia"/>
        </w:rPr>
      </w:pPr>
      <w:r>
        <w:rPr>
          <w:rFonts w:hint="eastAsia"/>
        </w:rPr>
        <w:t>支付数据管理</w:t>
      </w:r>
    </w:p>
    <w:p>
      <w:pPr>
        <w:pStyle w:val="22"/>
        <w:rPr>
          <w:rFonts w:hint="eastAsia"/>
        </w:rPr>
      </w:pPr>
      <w:r>
        <w:rPr>
          <w:rFonts w:hint="eastAsia" w:hAnsi="宋体"/>
        </w:rPr>
        <w:t>商城应建立支付数据收集、管理机制。</w:t>
      </w:r>
    </w:p>
    <w:p>
      <w:pPr>
        <w:pStyle w:val="22"/>
        <w:rPr>
          <w:rFonts w:hint="eastAsia"/>
        </w:rPr>
      </w:pPr>
      <w:r>
        <w:rPr>
          <w:rFonts w:hint="eastAsia" w:hAnsi="宋体"/>
        </w:rPr>
        <w:t>商城宜建立支付数据分析系统。</w:t>
      </w:r>
    </w:p>
    <w:p>
      <w:pPr>
        <w:pStyle w:val="42"/>
        <w:spacing w:before="156" w:after="156"/>
        <w:rPr>
          <w:rFonts w:hint="eastAsia"/>
        </w:rPr>
      </w:pPr>
      <w:r>
        <w:rPr>
          <w:rFonts w:hint="eastAsia"/>
        </w:rPr>
        <w:t>评价</w:t>
      </w:r>
    </w:p>
    <w:p>
      <w:pPr>
        <w:pStyle w:val="22"/>
        <w:rPr>
          <w:rFonts w:hint="eastAsia"/>
        </w:rPr>
      </w:pPr>
      <w:r>
        <w:rPr>
          <w:rFonts w:hint="eastAsia" w:hAnsi="宋体"/>
        </w:rPr>
        <w:t>商城应具备完善的商业反馈功能，采购人根据收到的货物、受到的服务对供应商商品、供应商进行评价，供应商可随时查看采购人评价反馈。</w:t>
      </w:r>
    </w:p>
    <w:p>
      <w:pPr>
        <w:pStyle w:val="45"/>
        <w:spacing w:before="156" w:after="156"/>
        <w:rPr>
          <w:rFonts w:hint="eastAsia"/>
        </w:rPr>
      </w:pPr>
      <w:r>
        <w:rPr>
          <w:rFonts w:hint="eastAsia"/>
        </w:rPr>
        <w:t>咨询</w:t>
      </w:r>
    </w:p>
    <w:p>
      <w:pPr>
        <w:pStyle w:val="22"/>
        <w:rPr>
          <w:rFonts w:hint="eastAsia"/>
        </w:rPr>
      </w:pPr>
      <w:r>
        <w:rPr>
          <w:rFonts w:hint="eastAsia" w:hAnsi="宋体"/>
        </w:rPr>
        <w:t>应建立咨询服务渠道，采购人对系统操作、供应商商品存在疑问或供应商对系统操作、采购人采购规则存在疑问的，可进行咨询。</w:t>
      </w:r>
    </w:p>
    <w:p>
      <w:pPr>
        <w:pStyle w:val="45"/>
        <w:spacing w:before="156" w:after="156"/>
        <w:rPr>
          <w:rFonts w:hint="eastAsia"/>
        </w:rPr>
      </w:pPr>
      <w:r>
        <w:rPr>
          <w:rFonts w:hint="eastAsia"/>
        </w:rPr>
        <w:t>申请投诉</w:t>
      </w:r>
    </w:p>
    <w:p>
      <w:pPr>
        <w:pStyle w:val="22"/>
        <w:rPr>
          <w:rFonts w:hint="eastAsia"/>
        </w:rPr>
      </w:pPr>
      <w:r>
        <w:rPr>
          <w:rFonts w:hint="eastAsia" w:hAnsi="宋体"/>
        </w:rPr>
        <w:t>网上商城应建立专区供采购人及供应商对在进行、已完成的存在问题的订单进行反馈投诉。</w:t>
      </w:r>
    </w:p>
    <w:p>
      <w:pPr>
        <w:pStyle w:val="45"/>
        <w:spacing w:before="156" w:after="156"/>
        <w:rPr>
          <w:rFonts w:hint="eastAsia"/>
        </w:rPr>
      </w:pPr>
      <w:r>
        <w:rPr>
          <w:rFonts w:hint="eastAsia"/>
        </w:rPr>
        <w:t>建议</w:t>
      </w:r>
    </w:p>
    <w:p>
      <w:pPr>
        <w:pStyle w:val="22"/>
        <w:rPr>
          <w:rFonts w:hint="eastAsia"/>
        </w:rPr>
      </w:pPr>
      <w:r>
        <w:rPr>
          <w:rFonts w:hint="eastAsia" w:hAnsi="宋体"/>
        </w:rPr>
        <w:t>网上商城宜建立建议投递渠道，供采购人及供应商对商城建设、运维等工作提供的建议可及时发聩。</w:t>
      </w:r>
    </w:p>
    <w:p>
      <w:pPr>
        <w:pStyle w:val="45"/>
        <w:spacing w:before="156" w:after="156"/>
        <w:rPr>
          <w:rFonts w:hint="eastAsia"/>
        </w:rPr>
      </w:pPr>
      <w:r>
        <w:rPr>
          <w:rFonts w:hint="eastAsia"/>
        </w:rPr>
        <w:t>举报管理</w:t>
      </w:r>
    </w:p>
    <w:p>
      <w:pPr>
        <w:pStyle w:val="22"/>
        <w:rPr>
          <w:rFonts w:hint="eastAsia"/>
        </w:rPr>
      </w:pPr>
      <w:r>
        <w:rPr>
          <w:rFonts w:hint="eastAsia" w:hAnsi="宋体"/>
        </w:rPr>
        <w:t>宜具备举报管理功能，对收到的投诉进行审核查验。</w:t>
      </w:r>
    </w:p>
    <w:p>
      <w:pPr>
        <w:pStyle w:val="45"/>
        <w:spacing w:before="156" w:after="156"/>
        <w:rPr>
          <w:rFonts w:hint="eastAsia"/>
        </w:rPr>
      </w:pPr>
      <w:r>
        <w:rPr>
          <w:rFonts w:hint="eastAsia"/>
        </w:rPr>
        <w:t>商品评价</w:t>
      </w:r>
    </w:p>
    <w:p>
      <w:pPr>
        <w:pStyle w:val="22"/>
        <w:rPr>
          <w:rFonts w:hint="eastAsia"/>
        </w:rPr>
      </w:pPr>
      <w:r>
        <w:rPr>
          <w:rFonts w:hint="eastAsia" w:hAnsi="宋体"/>
        </w:rPr>
        <w:t>订单完成交易后，采购人及供应商应对订单进行有效评价，评价维度包括但不限于产品、服务、物流、售后等。</w:t>
      </w:r>
    </w:p>
    <w:p>
      <w:pPr>
        <w:pStyle w:val="45"/>
        <w:spacing w:before="156" w:after="156"/>
        <w:rPr>
          <w:rFonts w:hint="eastAsia"/>
        </w:rPr>
      </w:pPr>
      <w:r>
        <w:rPr>
          <w:rFonts w:hint="eastAsia"/>
        </w:rPr>
        <w:t>评价数据管理</w:t>
      </w:r>
    </w:p>
    <w:p>
      <w:pPr>
        <w:pStyle w:val="22"/>
        <w:rPr>
          <w:rFonts w:hint="eastAsia"/>
        </w:rPr>
      </w:pPr>
      <w:r>
        <w:rPr>
          <w:rFonts w:hint="eastAsia" w:hAnsi="宋体"/>
        </w:rPr>
        <w:t>宜对评价数据进行分类、分级统计分析，形成供应商评级指标，可与第三方征信平台共同搭建电商化行业优质供应商资源库。</w:t>
      </w:r>
    </w:p>
    <w:p>
      <w:pPr>
        <w:pStyle w:val="22"/>
        <w:ind w:firstLine="0" w:firstLineChars="0"/>
        <w:rPr>
          <w:rFonts w:hint="eastAsia"/>
          <w:strike/>
        </w:rPr>
      </w:pPr>
      <w:r>
        <w:rPr>
          <w:rFonts w:hint="eastAsia"/>
          <w:strike/>
        </w:rPr>
        <w:t xml:space="preserve"> </w:t>
      </w:r>
    </w:p>
    <w:p>
      <w:pPr>
        <w:pStyle w:val="22"/>
        <w:rPr>
          <w:rFonts w:hint="eastAsia"/>
        </w:rPr>
      </w:pPr>
      <w:r>
        <w:rPr>
          <w:rFonts w:hint="eastAsia"/>
        </w:rPr>
        <w:t xml:space="preserve"> </w:t>
      </w:r>
    </w:p>
    <w:p>
      <w:pPr>
        <w:pStyle w:val="22"/>
        <w:rPr>
          <w:rFonts w:hint="eastAsia"/>
        </w:rPr>
      </w:pPr>
    </w:p>
    <w:sectPr>
      <w:headerReference r:id="rId4" w:type="default"/>
      <w:footerReference r:id="rId5"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eastAsia"/>
      </w:rPr>
    </w:pPr>
  </w:p>
  <w:p>
    <w:pPr>
      <w:pStyle w:val="52"/>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5"/>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64"/>
      <w:suff w:val="space"/>
      <w:lvlText w:val="%1"/>
      <w:lvlJc w:val="left"/>
      <w:pPr>
        <w:ind w:left="623" w:hanging="425"/>
      </w:pPr>
      <w:rPr>
        <w:rFonts w:hint="eastAsia"/>
      </w:rPr>
    </w:lvl>
    <w:lvl w:ilvl="1" w:tentative="0">
      <w:start w:val="1"/>
      <w:numFmt w:val="decimal"/>
      <w:pStyle w:val="6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5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9"/>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7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73"/>
      <w:lvlText w:val="%1"/>
      <w:lvlJc w:val="left"/>
      <w:pPr>
        <w:tabs>
          <w:tab w:val="left" w:pos="0"/>
        </w:tabs>
        <w:ind w:left="0" w:hanging="425"/>
      </w:pPr>
      <w:rPr>
        <w:rFonts w:hint="eastAsia"/>
      </w:rPr>
    </w:lvl>
    <w:lvl w:ilvl="1" w:tentative="0">
      <w:start w:val="1"/>
      <w:numFmt w:val="decimal"/>
      <w:pStyle w:val="7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0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2"/>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60"/>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8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71"/>
      <w:lvlText w:val="%1)"/>
      <w:lvlJc w:val="left"/>
      <w:pPr>
        <w:tabs>
          <w:tab w:val="left" w:pos="839"/>
        </w:tabs>
        <w:ind w:left="839" w:hanging="419"/>
      </w:pPr>
      <w:rPr>
        <w:rFonts w:hint="eastAsia" w:ascii="宋体" w:eastAsia="宋体"/>
        <w:b w:val="0"/>
        <w:i w:val="0"/>
        <w:sz w:val="21"/>
      </w:rPr>
    </w:lvl>
    <w:lvl w:ilvl="1" w:tentative="0">
      <w:start w:val="1"/>
      <w:numFmt w:val="decimal"/>
      <w:pStyle w:val="10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9"/>
  </w:num>
  <w:num w:numId="3">
    <w:abstractNumId w:val="2"/>
  </w:num>
  <w:num w:numId="4">
    <w:abstractNumId w:val="5"/>
  </w:num>
  <w:num w:numId="5">
    <w:abstractNumId w:val="7"/>
  </w:num>
  <w:num w:numId="6">
    <w:abstractNumId w:val="16"/>
  </w:num>
  <w:num w:numId="7">
    <w:abstractNumId w:val="14"/>
  </w:num>
  <w:num w:numId="8">
    <w:abstractNumId w:val="0"/>
  </w:num>
  <w:num w:numId="9">
    <w:abstractNumId w:val="6"/>
  </w:num>
  <w:num w:numId="10">
    <w:abstractNumId w:val="10"/>
  </w:num>
  <w:num w:numId="11">
    <w:abstractNumId w:val="15"/>
  </w:num>
  <w:num w:numId="12">
    <w:abstractNumId w:val="12"/>
  </w:num>
  <w:num w:numId="13">
    <w:abstractNumId w:val="4"/>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17850"/>
    <w:rsid w:val="0002143C"/>
    <w:rsid w:val="00025A65"/>
    <w:rsid w:val="00026C31"/>
    <w:rsid w:val="00027280"/>
    <w:rsid w:val="000320A7"/>
    <w:rsid w:val="00035925"/>
    <w:rsid w:val="00043B10"/>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366FD"/>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7FEE"/>
    <w:rsid w:val="00250E7D"/>
    <w:rsid w:val="002565D5"/>
    <w:rsid w:val="002622C0"/>
    <w:rsid w:val="002778AE"/>
    <w:rsid w:val="00282000"/>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6727A"/>
    <w:rsid w:val="00375564"/>
    <w:rsid w:val="00380D11"/>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46B29"/>
    <w:rsid w:val="00453F9A"/>
    <w:rsid w:val="00471E91"/>
    <w:rsid w:val="00474675"/>
    <w:rsid w:val="0047470C"/>
    <w:rsid w:val="004A35F9"/>
    <w:rsid w:val="004A37ED"/>
    <w:rsid w:val="004B24C1"/>
    <w:rsid w:val="004C292F"/>
    <w:rsid w:val="004E07C5"/>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0AD"/>
    <w:rsid w:val="006243A1"/>
    <w:rsid w:val="00632E56"/>
    <w:rsid w:val="00635023"/>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509B"/>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2C71"/>
    <w:rsid w:val="008F6758"/>
    <w:rsid w:val="009040DD"/>
    <w:rsid w:val="00905B47"/>
    <w:rsid w:val="0091331C"/>
    <w:rsid w:val="009279DE"/>
    <w:rsid w:val="00930116"/>
    <w:rsid w:val="0094212C"/>
    <w:rsid w:val="00954689"/>
    <w:rsid w:val="009617C9"/>
    <w:rsid w:val="00961C93"/>
    <w:rsid w:val="00965324"/>
    <w:rsid w:val="0097091E"/>
    <w:rsid w:val="009760D3"/>
    <w:rsid w:val="00976230"/>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13DC"/>
    <w:rsid w:val="00B04182"/>
    <w:rsid w:val="00B07AE3"/>
    <w:rsid w:val="00B11430"/>
    <w:rsid w:val="00B353EB"/>
    <w:rsid w:val="00B37E31"/>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107C8"/>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52B0"/>
    <w:rsid w:val="00D079B2"/>
    <w:rsid w:val="00D114E9"/>
    <w:rsid w:val="00D23413"/>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B7AB5"/>
    <w:rsid w:val="00EC1578"/>
    <w:rsid w:val="00EC1C72"/>
    <w:rsid w:val="00EC3CC9"/>
    <w:rsid w:val="00EC680A"/>
    <w:rsid w:val="00EE2BED"/>
    <w:rsid w:val="00EE374B"/>
    <w:rsid w:val="00F11BB5"/>
    <w:rsid w:val="00F129E7"/>
    <w:rsid w:val="00F1417B"/>
    <w:rsid w:val="00F34B99"/>
    <w:rsid w:val="00F52DAB"/>
    <w:rsid w:val="00F543F0"/>
    <w:rsid w:val="00F81D29"/>
    <w:rsid w:val="00F91C4D"/>
    <w:rsid w:val="00F92FD9"/>
    <w:rsid w:val="00FA6684"/>
    <w:rsid w:val="00FA731E"/>
    <w:rsid w:val="00FB2B38"/>
    <w:rsid w:val="00FC6358"/>
    <w:rsid w:val="00FD320D"/>
    <w:rsid w:val="00FE23DE"/>
    <w:rsid w:val="16844FC3"/>
    <w:rsid w:val="57EA5EF3"/>
    <w:rsid w:val="58F935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name="toc 2"/>
    <w:lsdException w:qFormat="1" w:unhideWhenUsed="0" w:uiPriority="39"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8"/>
    <w:qFormat/>
    <w:uiPriority w:val="0"/>
    <w:pPr>
      <w:keepNext/>
      <w:keepLines/>
      <w:spacing w:before="340" w:after="330" w:line="578" w:lineRule="auto"/>
      <w:outlineLvl w:val="0"/>
    </w:pPr>
    <w:rPr>
      <w:b/>
      <w:bCs/>
      <w:kern w:val="44"/>
      <w:sz w:val="44"/>
      <w:szCs w:val="44"/>
    </w:rPr>
  </w:style>
  <w:style w:type="character" w:default="1" w:styleId="32">
    <w:name w:val="Default Paragraph Font"/>
    <w:semiHidden/>
    <w:uiPriority w:val="0"/>
  </w:style>
  <w:style w:type="table" w:default="1" w:styleId="30">
    <w:name w:val="Normal Table"/>
    <w:semiHidden/>
    <w:uiPriority w:val="0"/>
    <w:tblPr>
      <w:tblCellMar>
        <w:top w:w="0" w:type="dxa"/>
        <w:left w:w="108" w:type="dxa"/>
        <w:bottom w:w="0" w:type="dxa"/>
        <w:right w:w="108" w:type="dxa"/>
      </w:tblCellMar>
    </w:tblPr>
  </w:style>
  <w:style w:type="paragraph" w:styleId="3">
    <w:name w:val="toc 7"/>
    <w:basedOn w:val="1"/>
    <w:next w:val="1"/>
    <w:semiHidden/>
    <w:uiPriority w:val="0"/>
    <w:pPr>
      <w:tabs>
        <w:tab w:val="right" w:leader="dot" w:pos="9241"/>
      </w:tabs>
      <w:ind w:firstLine="500"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39"/>
    <w:pPr>
      <w:tabs>
        <w:tab w:val="right" w:leader="dot" w:pos="9241"/>
      </w:tabs>
      <w:ind w:firstLine="100" w:firstLineChars="100"/>
      <w:jc w:val="left"/>
    </w:pPr>
    <w:rPr>
      <w:rFonts w:ascii="宋体"/>
      <w:szCs w:val="21"/>
    </w:rPr>
  </w:style>
  <w:style w:type="paragraph" w:styleId="12">
    <w:name w:val="toc 8"/>
    <w:basedOn w:val="1"/>
    <w:next w:val="1"/>
    <w:semiHidden/>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39"/>
    <w:uiPriority w:val="0"/>
    <w:rPr>
      <w:sz w:val="18"/>
      <w:szCs w:val="18"/>
    </w:rPr>
  </w:style>
  <w:style w:type="paragraph" w:styleId="16">
    <w:name w:val="footer"/>
    <w:basedOn w:val="1"/>
    <w:link w:val="137"/>
    <w:qFormat/>
    <w:uiPriority w:val="99"/>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2"/>
      </w:tabs>
      <w:spacing w:before="25" w:beforeLines="25" w:after="25" w:afterLines="25"/>
      <w:jc w:val="left"/>
    </w:pPr>
    <w:rPr>
      <w:rFonts w:ascii="宋体"/>
      <w:szCs w:val="21"/>
    </w:rPr>
  </w:style>
  <w:style w:type="paragraph" w:styleId="19">
    <w:name w:val="toc 4"/>
    <w:basedOn w:val="1"/>
    <w:next w:val="1"/>
    <w:semiHidden/>
    <w:uiPriority w:val="0"/>
    <w:pPr>
      <w:tabs>
        <w:tab w:val="right" w:leader="dot" w:pos="9241"/>
      </w:tabs>
      <w:ind w:firstLine="200"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132"/>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0"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qFormat/>
    <w:uiPriority w:val="39"/>
    <w:pPr>
      <w:tabs>
        <w:tab w:val="right" w:leader="dot" w:pos="9242"/>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index 2"/>
    <w:basedOn w:val="1"/>
    <w:next w:val="1"/>
    <w:uiPriority w:val="0"/>
    <w:pPr>
      <w:ind w:left="420" w:hanging="210"/>
      <w:jc w:val="left"/>
    </w:pPr>
    <w:rPr>
      <w:rFonts w:ascii="Calibri" w:hAnsi="Calibri"/>
      <w:sz w:val="20"/>
      <w:szCs w:val="20"/>
    </w:rPr>
  </w:style>
  <w:style w:type="table" w:styleId="31">
    <w:name w:val="Table Grid"/>
    <w:basedOn w:val="30"/>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endnote reference"/>
    <w:basedOn w:val="32"/>
    <w:semiHidden/>
    <w:uiPriority w:val="0"/>
    <w:rPr>
      <w:vertAlign w:val="superscript"/>
    </w:rPr>
  </w:style>
  <w:style w:type="character" w:styleId="34">
    <w:name w:val="page number"/>
    <w:basedOn w:val="32"/>
    <w:uiPriority w:val="0"/>
    <w:rPr>
      <w:rFonts w:ascii="Times New Roman" w:hAnsi="Times New Roman" w:eastAsia="宋体"/>
      <w:sz w:val="18"/>
    </w:rPr>
  </w:style>
  <w:style w:type="character" w:styleId="35">
    <w:name w:val="FollowedHyperlink"/>
    <w:basedOn w:val="32"/>
    <w:uiPriority w:val="0"/>
    <w:rPr>
      <w:color w:val="800080"/>
      <w:u w:val="single"/>
    </w:rPr>
  </w:style>
  <w:style w:type="character" w:styleId="36">
    <w:name w:val="Hyperlink"/>
    <w:basedOn w:val="32"/>
    <w:uiPriority w:val="99"/>
    <w:rPr>
      <w:color w:val="0000FF"/>
      <w:spacing w:val="0"/>
      <w:w w:val="100"/>
      <w:szCs w:val="21"/>
      <w:u w:val="single"/>
    </w:rPr>
  </w:style>
  <w:style w:type="character" w:styleId="37">
    <w:name w:val="footnote reference"/>
    <w:basedOn w:val="32"/>
    <w:semiHidden/>
    <w:uiPriority w:val="0"/>
    <w:rPr>
      <w:vertAlign w:val="superscript"/>
    </w:rPr>
  </w:style>
  <w:style w:type="paragraph" w:customStyle="1" w:styleId="38">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9">
    <w:name w:val="数字编号列项（二级）"/>
    <w:uiPriority w:val="0"/>
    <w:pPr>
      <w:numPr>
        <w:ilvl w:val="1"/>
        <w:numId w:val="2"/>
      </w:numPr>
      <w:jc w:val="both"/>
    </w:pPr>
    <w:rPr>
      <w:rFonts w:ascii="宋体" w:hAnsi="Times New Roman" w:eastAsia="宋体" w:cs="Times New Roman"/>
      <w:sz w:val="21"/>
      <w:lang w:val="en-US" w:eastAsia="zh-CN" w:bidi="ar-SA"/>
    </w:rPr>
  </w:style>
  <w:style w:type="paragraph" w:customStyle="1" w:styleId="40">
    <w:name w:val="示例"/>
    <w:next w:val="41"/>
    <w:uiPriority w:val="0"/>
    <w:pPr>
      <w:widowControl w:val="0"/>
      <w:numPr>
        <w:ilvl w:val="0"/>
        <w:numId w:val="3"/>
      </w:numPr>
      <w:jc w:val="both"/>
    </w:pPr>
    <w:rPr>
      <w:rFonts w:ascii="宋体" w:hAnsi="Times New Roman" w:eastAsia="宋体" w:cs="Times New Roman"/>
      <w:sz w:val="18"/>
      <w:szCs w:val="18"/>
      <w:lang w:val="en-US" w:eastAsia="zh-CN" w:bidi="ar-SA"/>
    </w:rPr>
  </w:style>
  <w:style w:type="paragraph" w:customStyle="1" w:styleId="41">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42">
    <w:name w:val="二级条标题"/>
    <w:basedOn w:val="43"/>
    <w:next w:val="22"/>
    <w:uiPriority w:val="0"/>
    <w:pPr>
      <w:numPr>
        <w:ilvl w:val="2"/>
        <w:numId w:val="4"/>
      </w:numPr>
      <w:spacing w:before="50" w:after="50"/>
      <w:outlineLvl w:val="3"/>
    </w:pPr>
  </w:style>
  <w:style w:type="paragraph" w:customStyle="1" w:styleId="43">
    <w:name w:val="一级条标题"/>
    <w:next w:val="22"/>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4">
    <w:name w:val="四级条标题"/>
    <w:basedOn w:val="45"/>
    <w:next w:val="22"/>
    <w:uiPriority w:val="0"/>
    <w:pPr>
      <w:numPr>
        <w:ilvl w:val="4"/>
        <w:numId w:val="4"/>
      </w:numPr>
      <w:outlineLvl w:val="5"/>
    </w:pPr>
  </w:style>
  <w:style w:type="paragraph" w:customStyle="1" w:styleId="45">
    <w:name w:val="三级条标题"/>
    <w:basedOn w:val="42"/>
    <w:next w:val="22"/>
    <w:uiPriority w:val="0"/>
    <w:pPr>
      <w:numPr>
        <w:ilvl w:val="3"/>
        <w:numId w:val="4"/>
      </w:numPr>
      <w:outlineLvl w:val="4"/>
    </w:pPr>
  </w:style>
  <w:style w:type="paragraph" w:customStyle="1" w:styleId="46">
    <w:name w:val="列项——（一级）"/>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47">
    <w:name w:val="章标题"/>
    <w:next w:val="22"/>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8">
    <w:name w:val="_Style 47"/>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49">
    <w:name w:val="五级条标题"/>
    <w:basedOn w:val="44"/>
    <w:next w:val="22"/>
    <w:uiPriority w:val="0"/>
    <w:pPr>
      <w:numPr>
        <w:ilvl w:val="5"/>
        <w:numId w:val="4"/>
      </w:numPr>
      <w:outlineLvl w:val="6"/>
    </w:pPr>
  </w:style>
  <w:style w:type="paragraph" w:customStyle="1" w:styleId="50">
    <w:name w:val="列项●（二级）"/>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1">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3">
    <w:name w:val="注："/>
    <w:next w:val="22"/>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5">
    <w:name w:val="附录二级无"/>
    <w:basedOn w:val="56"/>
    <w:uiPriority w:val="0"/>
    <w:pPr>
      <w:tabs>
        <w:tab w:val="left" w:pos="360"/>
      </w:tabs>
      <w:spacing w:before="0" w:beforeLines="0" w:after="0" w:afterLines="0"/>
    </w:pPr>
    <w:rPr>
      <w:rFonts w:ascii="宋体" w:eastAsia="宋体"/>
      <w:szCs w:val="21"/>
    </w:rPr>
  </w:style>
  <w:style w:type="paragraph" w:customStyle="1" w:styleId="56">
    <w:name w:val="附录二级条标题"/>
    <w:basedOn w:val="1"/>
    <w:next w:val="22"/>
    <w:uiPriority w:val="0"/>
    <w:pPr>
      <w:widowControl/>
      <w:numPr>
        <w:ilvl w:val="3"/>
        <w:numId w:val="7"/>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7">
    <w:name w:val="列项◆（三级）"/>
    <w:basedOn w:val="1"/>
    <w:uiPriority w:val="0"/>
    <w:pPr>
      <w:numPr>
        <w:ilvl w:val="2"/>
        <w:numId w:val="5"/>
      </w:numPr>
    </w:pPr>
    <w:rPr>
      <w:rFonts w:ascii="宋体"/>
      <w:szCs w:val="21"/>
    </w:rPr>
  </w:style>
  <w:style w:type="paragraph" w:customStyle="1" w:styleId="58">
    <w:name w:val="附录四级无"/>
    <w:basedOn w:val="59"/>
    <w:uiPriority w:val="0"/>
    <w:pPr>
      <w:tabs>
        <w:tab w:val="left" w:pos="360"/>
      </w:tabs>
      <w:spacing w:before="0" w:beforeLines="0" w:after="0" w:afterLines="0"/>
    </w:pPr>
    <w:rPr>
      <w:rFonts w:ascii="宋体" w:eastAsia="宋体"/>
      <w:szCs w:val="21"/>
    </w:rPr>
  </w:style>
  <w:style w:type="paragraph" w:customStyle="1" w:styleId="59">
    <w:name w:val="附录四级条标题"/>
    <w:basedOn w:val="60"/>
    <w:next w:val="22"/>
    <w:uiPriority w:val="0"/>
    <w:pPr>
      <w:numPr>
        <w:ilvl w:val="5"/>
        <w:numId w:val="7"/>
      </w:numPr>
      <w:tabs>
        <w:tab w:val="left" w:pos="360"/>
      </w:tabs>
      <w:outlineLvl w:val="5"/>
    </w:pPr>
  </w:style>
  <w:style w:type="paragraph" w:customStyle="1" w:styleId="60">
    <w:name w:val="附录三级条标题"/>
    <w:basedOn w:val="56"/>
    <w:next w:val="22"/>
    <w:uiPriority w:val="0"/>
    <w:pPr>
      <w:numPr>
        <w:ilvl w:val="4"/>
        <w:numId w:val="7"/>
      </w:numPr>
      <w:outlineLvl w:val="4"/>
    </w:pPr>
  </w:style>
  <w:style w:type="paragraph" w:customStyle="1" w:styleId="61">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2">
    <w:name w:val="附录图标题"/>
    <w:basedOn w:val="1"/>
    <w:next w:val="22"/>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63">
    <w:name w:val="字母编号列项（一级）"/>
    <w:uiPriority w:val="0"/>
    <w:pPr>
      <w:numPr>
        <w:ilvl w:val="0"/>
        <w:numId w:val="2"/>
      </w:numPr>
      <w:jc w:val="both"/>
    </w:pPr>
    <w:rPr>
      <w:rFonts w:ascii="宋体" w:hAnsi="Times New Roman" w:eastAsia="宋体" w:cs="Times New Roman"/>
      <w:sz w:val="21"/>
      <w:lang w:val="en-US" w:eastAsia="zh-CN" w:bidi="ar-SA"/>
    </w:rPr>
  </w:style>
  <w:style w:type="paragraph" w:customStyle="1" w:styleId="64">
    <w:name w:val="附录图标号"/>
    <w:basedOn w:val="1"/>
    <w:uiPriority w:val="0"/>
    <w:pPr>
      <w:keepNext/>
      <w:pageBreakBefore/>
      <w:widowControl/>
      <w:numPr>
        <w:ilvl w:val="0"/>
        <w:numId w:val="9"/>
      </w:numPr>
      <w:spacing w:line="14" w:lineRule="exact"/>
      <w:ind w:left="0" w:firstLine="363"/>
      <w:jc w:val="center"/>
      <w:outlineLvl w:val="0"/>
    </w:pPr>
    <w:rPr>
      <w:color w:val="FFFFFF"/>
    </w:rPr>
  </w:style>
  <w:style w:type="paragraph" w:customStyle="1" w:styleId="65">
    <w:name w:val="二级无"/>
    <w:basedOn w:val="42"/>
    <w:uiPriority w:val="0"/>
    <w:pPr>
      <w:spacing w:before="0" w:beforeLines="0" w:after="0" w:afterLines="0"/>
      <w:ind w:left="0" w:firstLine="0"/>
    </w:pPr>
    <w:rPr>
      <w:rFonts w:ascii="宋体" w:eastAsia="宋体"/>
    </w:rPr>
  </w:style>
  <w:style w:type="paragraph" w:customStyle="1" w:styleId="66">
    <w:name w:val="附录三级无"/>
    <w:basedOn w:val="60"/>
    <w:uiPriority w:val="0"/>
    <w:pPr>
      <w:tabs>
        <w:tab w:val="clear" w:pos="360"/>
      </w:tabs>
      <w:spacing w:before="0" w:beforeLines="0" w:after="0" w:afterLines="0"/>
    </w:pPr>
    <w:rPr>
      <w:rFonts w:ascii="宋体" w:eastAsia="宋体"/>
      <w:szCs w:val="21"/>
    </w:rPr>
  </w:style>
  <w:style w:type="paragraph" w:customStyle="1" w:styleId="67">
    <w:name w:val="编号列项（三级）"/>
    <w:uiPriority w:val="0"/>
    <w:pPr>
      <w:numPr>
        <w:ilvl w:val="2"/>
        <w:numId w:val="2"/>
      </w:numPr>
    </w:pPr>
    <w:rPr>
      <w:rFonts w:ascii="宋体" w:hAnsi="Times New Roman" w:eastAsia="宋体" w:cs="Times New Roman"/>
      <w:sz w:val="21"/>
      <w:lang w:val="en-US" w:eastAsia="zh-CN" w:bidi="ar-SA"/>
    </w:rPr>
  </w:style>
  <w:style w:type="paragraph" w:customStyle="1" w:styleId="68">
    <w:name w:val="附录章标题"/>
    <w:next w:val="22"/>
    <w:uiPriority w:val="0"/>
    <w:pPr>
      <w:numPr>
        <w:ilvl w:val="1"/>
        <w:numId w:val="7"/>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0">
    <w:name w:val="示例×："/>
    <w:basedOn w:val="47"/>
    <w:qFormat/>
    <w:uiPriority w:val="0"/>
    <w:pPr>
      <w:numPr>
        <w:ilvl w:val="0"/>
        <w:numId w:val="10"/>
      </w:numPr>
      <w:spacing w:before="0" w:beforeLines="0" w:after="0" w:afterLines="0"/>
      <w:outlineLvl w:val="9"/>
    </w:pPr>
    <w:rPr>
      <w:rFonts w:ascii="宋体" w:eastAsia="宋体"/>
      <w:sz w:val="18"/>
      <w:szCs w:val="18"/>
    </w:rPr>
  </w:style>
  <w:style w:type="paragraph" w:customStyle="1" w:styleId="71">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72">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3">
    <w:name w:val="附录表标号"/>
    <w:basedOn w:val="1"/>
    <w:next w:val="22"/>
    <w:uiPriority w:val="0"/>
    <w:pPr>
      <w:numPr>
        <w:ilvl w:val="0"/>
        <w:numId w:val="12"/>
      </w:numPr>
      <w:tabs>
        <w:tab w:val="clear" w:pos="0"/>
      </w:tabs>
      <w:spacing w:line="14" w:lineRule="exact"/>
      <w:ind w:left="811" w:hanging="448"/>
      <w:jc w:val="center"/>
      <w:outlineLvl w:val="0"/>
    </w:pPr>
    <w:rPr>
      <w:color w:val="FFFFFF"/>
    </w:rPr>
  </w:style>
  <w:style w:type="paragraph" w:customStyle="1" w:styleId="74">
    <w:name w:val="注：（正文）"/>
    <w:basedOn w:val="53"/>
    <w:next w:val="22"/>
    <w:uiPriority w:val="0"/>
  </w:style>
  <w:style w:type="paragraph" w:customStyle="1" w:styleId="75">
    <w:name w:val="注×：（正文）"/>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76">
    <w:name w:val="附录表标题"/>
    <w:basedOn w:val="1"/>
    <w:next w:val="22"/>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7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8">
    <w:name w:val="标准书眉_偶数页"/>
    <w:basedOn w:val="38"/>
    <w:next w:val="1"/>
    <w:uiPriority w:val="0"/>
    <w:pPr>
      <w:jc w:val="left"/>
    </w:pPr>
    <w:rPr>
      <w:rFonts w:ascii="黑体" w:eastAsia="黑体"/>
    </w:rPr>
  </w:style>
  <w:style w:type="paragraph" w:customStyle="1" w:styleId="79">
    <w:name w:val="其他发布部门"/>
    <w:basedOn w:val="80"/>
    <w:uiPriority w:val="0"/>
    <w:pPr>
      <w:framePr w:y="15310"/>
      <w:spacing w:line="0" w:lineRule="atLeast"/>
    </w:pPr>
    <w:rPr>
      <w:rFonts w:ascii="黑体" w:eastAsia="黑体"/>
      <w:b w:val="0"/>
    </w:rPr>
  </w:style>
  <w:style w:type="paragraph" w:customStyle="1" w:styleId="80">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标准书眉一"/>
    <w:uiPriority w:val="0"/>
    <w:pPr>
      <w:jc w:val="both"/>
    </w:pPr>
    <w:rPr>
      <w:rFonts w:ascii="Times New Roman" w:hAnsi="Times New Roman" w:eastAsia="宋体" w:cs="Times New Roman"/>
      <w:lang w:val="en-US" w:eastAsia="zh-CN" w:bidi="ar-SA"/>
    </w:rPr>
  </w:style>
  <w:style w:type="paragraph" w:customStyle="1" w:styleId="82">
    <w:name w:val="附录一级条标题"/>
    <w:basedOn w:val="68"/>
    <w:next w:val="22"/>
    <w:uiPriority w:val="0"/>
    <w:pPr>
      <w:numPr>
        <w:ilvl w:val="2"/>
        <w:numId w:val="7"/>
      </w:numPr>
      <w:autoSpaceDN w:val="0"/>
      <w:spacing w:before="50" w:beforeLines="50" w:after="50" w:afterLines="50"/>
      <w:outlineLvl w:val="2"/>
    </w:pPr>
  </w:style>
  <w:style w:type="paragraph" w:customStyle="1" w:styleId="83">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4">
    <w:name w:val="附录五级无"/>
    <w:basedOn w:val="85"/>
    <w:uiPriority w:val="0"/>
    <w:pPr>
      <w:tabs>
        <w:tab w:val="left" w:pos="360"/>
      </w:tabs>
      <w:spacing w:before="0" w:beforeLines="0" w:after="0" w:afterLines="0"/>
    </w:pPr>
    <w:rPr>
      <w:rFonts w:ascii="宋体" w:eastAsia="宋体"/>
      <w:szCs w:val="21"/>
    </w:rPr>
  </w:style>
  <w:style w:type="paragraph" w:customStyle="1" w:styleId="85">
    <w:name w:val="附录五级条标题"/>
    <w:basedOn w:val="59"/>
    <w:next w:val="22"/>
    <w:uiPriority w:val="0"/>
    <w:pPr>
      <w:numPr>
        <w:ilvl w:val="6"/>
        <w:numId w:val="7"/>
      </w:numPr>
      <w:outlineLvl w:val="6"/>
    </w:pPr>
  </w:style>
  <w:style w:type="paragraph" w:customStyle="1" w:styleId="86">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7">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8">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9">
    <w:name w:val="三级无"/>
    <w:basedOn w:val="45"/>
    <w:uiPriority w:val="0"/>
    <w:pPr>
      <w:spacing w:before="0" w:beforeLines="0" w:after="0" w:afterLines="0"/>
    </w:pPr>
    <w:rPr>
      <w:rFonts w:ascii="宋体" w:eastAsia="宋体"/>
    </w:rPr>
  </w:style>
  <w:style w:type="paragraph" w:customStyle="1" w:styleId="9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封面标准英文名称"/>
    <w:basedOn w:val="91"/>
    <w:uiPriority w:val="0"/>
    <w:pPr>
      <w:spacing w:before="370" w:line="400" w:lineRule="exact"/>
    </w:pPr>
    <w:rPr>
      <w:rFonts w:ascii="Times New Roman"/>
      <w:sz w:val="28"/>
      <w:szCs w:val="28"/>
    </w:rPr>
  </w:style>
  <w:style w:type="paragraph" w:customStyle="1" w:styleId="93">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4">
    <w:name w:val="封面一致性程度标识"/>
    <w:basedOn w:val="92"/>
    <w:uiPriority w:val="0"/>
    <w:pPr>
      <w:spacing w:before="440"/>
    </w:pPr>
    <w:rPr>
      <w:rFonts w:ascii="宋体" w:eastAsia="宋体"/>
    </w:rPr>
  </w:style>
  <w:style w:type="paragraph" w:customStyle="1" w:styleId="95">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96">
    <w:name w:val="封面标准文稿类别"/>
    <w:basedOn w:val="94"/>
    <w:uiPriority w:val="0"/>
    <w:pPr>
      <w:spacing w:after="160" w:line="240" w:lineRule="auto"/>
    </w:pPr>
    <w:rPr>
      <w:sz w:val="24"/>
    </w:rPr>
  </w:style>
  <w:style w:type="paragraph" w:customStyle="1" w:styleId="97">
    <w:name w:val="封面标准文稿编辑信息"/>
    <w:basedOn w:val="96"/>
    <w:uiPriority w:val="0"/>
    <w:pPr>
      <w:spacing w:before="180" w:line="180" w:lineRule="exact"/>
    </w:pPr>
    <w:rPr>
      <w:sz w:val="21"/>
    </w:rPr>
  </w:style>
  <w:style w:type="paragraph" w:customStyle="1" w:styleId="98">
    <w:name w:val="其他标准标志"/>
    <w:basedOn w:val="77"/>
    <w:uiPriority w:val="0"/>
    <w:pPr>
      <w:framePr w:w="6101" w:vAnchor="page" w:hAnchor="page" w:x="4673" w:y="942"/>
    </w:pPr>
    <w:rPr>
      <w:w w:val="130"/>
    </w:rPr>
  </w:style>
  <w:style w:type="paragraph" w:customStyle="1" w:styleId="99">
    <w:name w:val="封面正文"/>
    <w:uiPriority w:val="0"/>
    <w:pPr>
      <w:jc w:val="both"/>
    </w:pPr>
    <w:rPr>
      <w:rFonts w:ascii="Times New Roman" w:hAnsi="Times New Roman" w:eastAsia="宋体" w:cs="Times New Roman"/>
      <w:lang w:val="en-US" w:eastAsia="zh-CN" w:bidi="ar-SA"/>
    </w:rPr>
  </w:style>
  <w:style w:type="paragraph" w:customStyle="1" w:styleId="100">
    <w:name w:val="附录标识"/>
    <w:basedOn w:val="1"/>
    <w:next w:val="22"/>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1">
    <w:name w:val="附录标题"/>
    <w:basedOn w:val="22"/>
    <w:next w:val="22"/>
    <w:uiPriority w:val="0"/>
    <w:pPr>
      <w:ind w:firstLine="0" w:firstLineChars="0"/>
      <w:jc w:val="center"/>
    </w:pPr>
    <w:rPr>
      <w:rFonts w:ascii="黑体" w:eastAsia="黑体"/>
    </w:rPr>
  </w:style>
  <w:style w:type="paragraph" w:customStyle="1" w:styleId="102">
    <w:name w:val="附录公式"/>
    <w:basedOn w:val="22"/>
    <w:next w:val="22"/>
    <w:link w:val="134"/>
    <w:qFormat/>
    <w:uiPriority w:val="0"/>
  </w:style>
  <w:style w:type="paragraph" w:customStyle="1" w:styleId="103">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104">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105">
    <w:name w:val="附录一级无"/>
    <w:basedOn w:val="82"/>
    <w:uiPriority w:val="0"/>
    <w:pPr>
      <w:tabs>
        <w:tab w:val="clear" w:pos="360"/>
      </w:tabs>
      <w:spacing w:before="0" w:beforeLines="0" w:after="0" w:afterLines="0"/>
    </w:pPr>
    <w:rPr>
      <w:rFonts w:ascii="宋体" w:eastAsia="宋体"/>
      <w:szCs w:val="21"/>
    </w:rPr>
  </w:style>
  <w:style w:type="paragraph" w:customStyle="1" w:styleId="106">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实施日期"/>
    <w:basedOn w:val="87"/>
    <w:uiPriority w:val="0"/>
    <w:pPr>
      <w:framePr w:vAnchor="page" w:hAnchor="page"/>
      <w:jc w:val="right"/>
    </w:pPr>
  </w:style>
  <w:style w:type="paragraph" w:customStyle="1" w:styleId="110">
    <w:name w:val="示例后文字"/>
    <w:basedOn w:val="22"/>
    <w:next w:val="22"/>
    <w:qFormat/>
    <w:uiPriority w:val="0"/>
    <w:pPr>
      <w:ind w:firstLine="360"/>
    </w:pPr>
    <w:rPr>
      <w:sz w:val="18"/>
    </w:rPr>
  </w:style>
  <w:style w:type="paragraph" w:customStyle="1" w:styleId="111">
    <w:name w:val="首示例"/>
    <w:next w:val="22"/>
    <w:link w:val="13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112">
    <w:name w:val="四级无"/>
    <w:basedOn w:val="44"/>
    <w:uiPriority w:val="0"/>
    <w:pPr>
      <w:spacing w:before="0" w:beforeLines="0" w:after="0" w:afterLines="0"/>
    </w:pPr>
    <w:rPr>
      <w:rFonts w:ascii="宋体" w:eastAsia="宋体"/>
    </w:rPr>
  </w:style>
  <w:style w:type="paragraph" w:customStyle="1" w:styleId="113">
    <w:name w:val="条文脚注"/>
    <w:basedOn w:val="23"/>
    <w:uiPriority w:val="0"/>
    <w:pPr>
      <w:numPr>
        <w:ilvl w:val="0"/>
        <w:numId w:val="0"/>
      </w:numPr>
      <w:jc w:val="both"/>
    </w:pPr>
    <w:rPr>
      <w:rFonts w:ascii="宋体"/>
    </w:rPr>
  </w:style>
  <w:style w:type="paragraph" w:customStyle="1" w:styleId="114">
    <w:name w:val="图标脚注说明"/>
    <w:basedOn w:val="22"/>
    <w:uiPriority w:val="0"/>
    <w:pPr>
      <w:ind w:left="840" w:hanging="420" w:firstLineChars="0"/>
    </w:pPr>
    <w:rPr>
      <w:sz w:val="18"/>
      <w:szCs w:val="18"/>
    </w:rPr>
  </w:style>
  <w:style w:type="paragraph" w:customStyle="1" w:styleId="115">
    <w:name w:val="图表脚注说明"/>
    <w:basedOn w:val="1"/>
    <w:uiPriority w:val="0"/>
    <w:pPr>
      <w:numPr>
        <w:ilvl w:val="0"/>
        <w:numId w:val="15"/>
      </w:numPr>
    </w:pPr>
    <w:rPr>
      <w:rFonts w:ascii="宋体"/>
      <w:sz w:val="18"/>
      <w:szCs w:val="18"/>
    </w:rPr>
  </w:style>
  <w:style w:type="paragraph" w:customStyle="1" w:styleId="116">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7">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8">
    <w:name w:val="五级无"/>
    <w:basedOn w:val="49"/>
    <w:uiPriority w:val="0"/>
    <w:pPr>
      <w:spacing w:before="0" w:beforeLines="0" w:after="0" w:afterLines="0"/>
    </w:pPr>
    <w:rPr>
      <w:rFonts w:ascii="宋体" w:eastAsia="宋体"/>
    </w:rPr>
  </w:style>
  <w:style w:type="paragraph" w:customStyle="1" w:styleId="119">
    <w:name w:val="一级无"/>
    <w:basedOn w:val="43"/>
    <w:uiPriority w:val="0"/>
    <w:pPr>
      <w:spacing w:before="0" w:beforeLines="0" w:after="0" w:afterLines="0"/>
    </w:pPr>
    <w:rPr>
      <w:rFonts w:ascii="宋体" w:eastAsia="宋体"/>
    </w:rPr>
  </w:style>
  <w:style w:type="paragraph" w:customStyle="1" w:styleId="120">
    <w:name w:val="正文表标题"/>
    <w:next w:val="22"/>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1">
    <w:name w:val="正文公式编号制表符"/>
    <w:basedOn w:val="22"/>
    <w:next w:val="22"/>
    <w:qFormat/>
    <w:uiPriority w:val="0"/>
    <w:pPr>
      <w:ind w:firstLine="0" w:firstLineChars="0"/>
    </w:pPr>
  </w:style>
  <w:style w:type="paragraph" w:customStyle="1" w:styleId="122">
    <w:name w:val="正文图标题"/>
    <w:next w:val="22"/>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3">
    <w:name w:val="终结线"/>
    <w:basedOn w:val="1"/>
    <w:uiPriority w:val="0"/>
    <w:pPr>
      <w:framePr w:hSpace="181" w:vSpace="181" w:wrap="around" w:vAnchor="text" w:hAnchor="margin" w:xAlign="center" w:y="285"/>
    </w:pPr>
  </w:style>
  <w:style w:type="paragraph" w:customStyle="1" w:styleId="124">
    <w:name w:val="其他发布日期"/>
    <w:basedOn w:val="87"/>
    <w:uiPriority w:val="0"/>
    <w:pPr>
      <w:framePr w:vAnchor="page" w:hAnchor="page" w:x="1419"/>
    </w:pPr>
  </w:style>
  <w:style w:type="paragraph" w:customStyle="1" w:styleId="125">
    <w:name w:val="其他实施日期"/>
    <w:basedOn w:val="109"/>
    <w:uiPriority w:val="0"/>
  </w:style>
  <w:style w:type="paragraph" w:customStyle="1" w:styleId="126">
    <w:name w:val="封面标准名称2"/>
    <w:basedOn w:val="91"/>
    <w:uiPriority w:val="0"/>
    <w:pPr>
      <w:framePr w:y="4469"/>
      <w:spacing w:before="630" w:beforeLines="630"/>
    </w:pPr>
  </w:style>
  <w:style w:type="paragraph" w:customStyle="1" w:styleId="127">
    <w:name w:val="封面标准英文名称2"/>
    <w:basedOn w:val="92"/>
    <w:uiPriority w:val="0"/>
    <w:pPr>
      <w:framePr w:y="4469"/>
    </w:pPr>
  </w:style>
  <w:style w:type="paragraph" w:customStyle="1" w:styleId="128">
    <w:name w:val="封面一致性程度标识2"/>
    <w:basedOn w:val="94"/>
    <w:uiPriority w:val="0"/>
    <w:pPr>
      <w:framePr w:y="4469"/>
    </w:pPr>
  </w:style>
  <w:style w:type="paragraph" w:customStyle="1" w:styleId="129">
    <w:name w:val="封面标准文稿类别2"/>
    <w:basedOn w:val="96"/>
    <w:uiPriority w:val="0"/>
    <w:pPr>
      <w:framePr w:y="4469"/>
    </w:pPr>
  </w:style>
  <w:style w:type="paragraph" w:customStyle="1" w:styleId="130">
    <w:name w:val="封面标准文稿编辑信息2"/>
    <w:basedOn w:val="97"/>
    <w:uiPriority w:val="0"/>
    <w:pPr>
      <w:framePr w:y="4469"/>
    </w:pPr>
  </w:style>
  <w:style w:type="paragraph" w:customStyle="1" w:styleId="131">
    <w:name w:val="WPSOffice手动目录 1"/>
    <w:uiPriority w:val="0"/>
    <w:pPr>
      <w:ind w:leftChars="0"/>
    </w:pPr>
    <w:rPr>
      <w:rFonts w:ascii="Times New Roman" w:hAnsi="Times New Roman" w:eastAsia="宋体" w:cs="Times New Roman"/>
      <w:sz w:val="20"/>
      <w:szCs w:val="20"/>
    </w:rPr>
  </w:style>
  <w:style w:type="character" w:customStyle="1" w:styleId="132">
    <w:name w:val="段 Char"/>
    <w:basedOn w:val="32"/>
    <w:link w:val="22"/>
    <w:uiPriority w:val="0"/>
    <w:rPr>
      <w:rFonts w:ascii="宋体"/>
      <w:sz w:val="21"/>
      <w:lang w:val="en-US" w:eastAsia="zh-CN" w:bidi="ar-SA"/>
    </w:rPr>
  </w:style>
  <w:style w:type="character" w:customStyle="1" w:styleId="133">
    <w:name w:val="发布"/>
    <w:basedOn w:val="32"/>
    <w:uiPriority w:val="0"/>
    <w:rPr>
      <w:rFonts w:ascii="黑体" w:eastAsia="黑体"/>
      <w:spacing w:val="85"/>
      <w:w w:val="100"/>
      <w:position w:val="3"/>
      <w:sz w:val="28"/>
      <w:szCs w:val="28"/>
    </w:rPr>
  </w:style>
  <w:style w:type="character" w:customStyle="1" w:styleId="134">
    <w:name w:val="附录公式 Char"/>
    <w:basedOn w:val="132"/>
    <w:link w:val="102"/>
    <w:uiPriority w:val="0"/>
  </w:style>
  <w:style w:type="character" w:customStyle="1" w:styleId="135">
    <w:name w:val="首示例 Char"/>
    <w:basedOn w:val="32"/>
    <w:link w:val="111"/>
    <w:uiPriority w:val="0"/>
    <w:rPr>
      <w:rFonts w:ascii="宋体" w:hAnsi="宋体"/>
      <w:kern w:val="2"/>
      <w:sz w:val="18"/>
      <w:szCs w:val="18"/>
      <w:lang w:val="en-US" w:eastAsia="zh-CN" w:bidi="ar-SA"/>
    </w:rPr>
  </w:style>
  <w:style w:type="character" w:customStyle="1" w:styleId="136">
    <w:name w:val="15"/>
    <w:basedOn w:val="32"/>
    <w:uiPriority w:val="0"/>
    <w:rPr>
      <w:rFonts w:hint="default" w:ascii="Times New Roman" w:hAnsi="Times New Roman" w:cs="Times New Roman"/>
      <w:color w:val="0000FF"/>
      <w:spacing w:val="0"/>
      <w:u w:val="single"/>
    </w:rPr>
  </w:style>
  <w:style w:type="character" w:customStyle="1" w:styleId="137">
    <w:name w:val="页脚 Char"/>
    <w:basedOn w:val="32"/>
    <w:link w:val="16"/>
    <w:uiPriority w:val="99"/>
    <w:rPr>
      <w:kern w:val="2"/>
      <w:sz w:val="18"/>
      <w:szCs w:val="18"/>
    </w:rPr>
  </w:style>
  <w:style w:type="character" w:customStyle="1" w:styleId="138">
    <w:name w:val="标题 1 Char"/>
    <w:basedOn w:val="32"/>
    <w:link w:val="2"/>
    <w:uiPriority w:val="0"/>
    <w:rPr>
      <w:b/>
      <w:bCs/>
      <w:kern w:val="44"/>
      <w:sz w:val="44"/>
      <w:szCs w:val="44"/>
    </w:rPr>
  </w:style>
  <w:style w:type="character" w:customStyle="1" w:styleId="139">
    <w:name w:val="批注框文本 Char"/>
    <w:basedOn w:val="32"/>
    <w:link w:val="15"/>
    <w:uiPriority w:val="0"/>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公共采购电子商务平台交易操作规范</Template>
  <Company>zle</Company>
  <Pages>13</Pages>
  <Words>1020</Words>
  <Characters>5814</Characters>
  <Lines>48</Lines>
  <Paragraphs>13</Paragraphs>
  <TotalTime>2</TotalTime>
  <ScaleCrop>false</ScaleCrop>
  <LinksUpToDate>false</LinksUpToDate>
  <CharactersWithSpaces>6821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2009-06-19T05:05:00Z</dcterms:created>
  <dc:creator>CNIS</dc:creator>
  <cp:lastModifiedBy>cflp</cp:lastModifiedBy>
  <dcterms:modified xsi:type="dcterms:W3CDTF">2020-09-30T01:38:19Z</dcterms:modified>
  <dc:title>标准名称</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