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rPr>
          <w:rFonts w:ascii="Times New Roman" w:eastAsia="黑体"/>
          <w:bCs/>
          <w:kern w:val="0"/>
          <w:sz w:val="30"/>
          <w:szCs w:val="30"/>
        </w:rPr>
      </w:pPr>
      <w:r>
        <w:rPr>
          <w:rFonts w:ascii="Times New Roman" w:eastAsia="黑体"/>
          <w:bCs/>
          <w:kern w:val="0"/>
          <w:sz w:val="30"/>
          <w:szCs w:val="30"/>
        </w:rPr>
        <w:t>附件</w:t>
      </w:r>
      <w:r>
        <w:rPr>
          <w:rFonts w:ascii="Times New Roman" w:hAnsi="Times New Roman" w:eastAsia="黑体"/>
          <w:bCs/>
          <w:kern w:val="0"/>
          <w:sz w:val="30"/>
          <w:szCs w:val="30"/>
        </w:rPr>
        <w:t>2</w:t>
      </w:r>
      <w:r>
        <w:rPr>
          <w:rFonts w:ascii="Times New Roman" w:eastAsia="黑体"/>
          <w:bCs/>
          <w:kern w:val="0"/>
          <w:sz w:val="30"/>
          <w:szCs w:val="30"/>
        </w:rPr>
        <w:t>：</w:t>
      </w:r>
    </w:p>
    <w:p>
      <w:pPr>
        <w:jc w:val="center"/>
      </w:pPr>
      <w:r>
        <w:rPr>
          <w:rFonts w:ascii="Times New Roman" w:hAnsi="Times New Roman" w:eastAsia="方正小标宋简体"/>
          <w:spacing w:val="10"/>
          <w:sz w:val="40"/>
          <w:szCs w:val="40"/>
        </w:rPr>
        <w:t>中物联</w:t>
      </w:r>
      <w:r>
        <w:rPr>
          <w:rFonts w:hint="eastAsia" w:ascii="Times New Roman" w:hAnsi="Times New Roman" w:eastAsia="方正小标宋简体"/>
          <w:spacing w:val="10"/>
          <w:sz w:val="40"/>
          <w:szCs w:val="40"/>
        </w:rPr>
        <w:t>数字化仓库标杆单位（第一批</w:t>
      </w:r>
      <w:bookmarkStart w:id="0" w:name="_GoBack"/>
      <w:bookmarkEnd w:id="0"/>
      <w:r>
        <w:rPr>
          <w:rFonts w:hint="eastAsia" w:ascii="Times New Roman" w:hAnsi="Times New Roman" w:eastAsia="方正小标宋简体"/>
          <w:spacing w:val="10"/>
          <w:sz w:val="40"/>
          <w:szCs w:val="40"/>
        </w:rPr>
        <w:t>）申报表</w:t>
      </w:r>
    </w:p>
    <w:tbl>
      <w:tblPr>
        <w:tblStyle w:val="5"/>
        <w:tblpPr w:leftFromText="180" w:rightFromText="180" w:vertAnchor="text" w:horzAnchor="page" w:tblpX="428" w:tblpY="612"/>
        <w:tblOverlap w:val="never"/>
        <w:tblW w:w="110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3"/>
        <w:gridCol w:w="3144"/>
        <w:gridCol w:w="1695"/>
        <w:gridCol w:w="40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一、企业基本情况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注册资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本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仓库地址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仓库名称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140" w:firstLineChars="50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电   话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邮  箱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数字化仓库试点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□是（如是，请填写是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批试点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单位）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独立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数字化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技术研发人员数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运营管理人员数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货物类别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210" w:leftChars="100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钢铁制品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橡塑原料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液体化工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粮食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冷链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□矿产品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快消品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210" w:leftChars="100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□备品备件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仓库类别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室内库 面积：    万平方米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筒  库 体积：     万立方米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罐  库 体积：    万立方米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室外库不参与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存货量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日均存货量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数字化科技成果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（此处简述企业在数字化仓库建设中产生的科技成果，含专利、标准及相关获奖情况，并注明获得日期。）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数字化仓库建设规划与投入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进展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情况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介绍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4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二、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数字化仓库建设</w:t>
            </w: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及应用技术类型介绍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数据基础设施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（此处简述仓库的网络覆盖规模、类型，数据传输带宽、速率、时延，数据存储等情况。）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仓储物（货物）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数字化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（此处简述仓储物施行统一编码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的方法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，货物由物联网采集方式、范围、效率等情况）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设备数字化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（此处简述设备施行统一编码，设备是否具备物联接入及数据传输功能，设备在装卸、分拣、称重、定位、监控、感知、识别等方面的方式、效率、精度等情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况，并提供物联网设施设备的名称、数量及部署示意图）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储位（库位）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数字化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（此处简述储位施行统一编码，储位可视化包括储位图形化及辅助设备找货、定位等情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况，并提供储位数字化展示图）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人员数字化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（此处简述人员含仓库工作人员及客户施行统一编码，人员数据采集、识别情况）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单证数字化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（此处简述仓库业务相关的入库单、仓单、出库单等单证的施行统一编码、标准化及应用情况）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仓库区位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数字化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（此处简述仓库内外区域规划，含装卸区、人行区、车行区、存货区、停车区等情况，并提供区位场景彩色实景图）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电子仓单增值应用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无纸化提货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在线加工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网络货运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电子商务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在线融资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在线保理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在线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结算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在线报关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在线商检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在线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结汇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其他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暂无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（此处请选择贵司在电子仓单方面的应用情况，并做应用简述）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仓库可视化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（此处简述仓储物、储位、作业流程、作业区域可视化情况）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数字化仓库运行效果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请贵司将仓库数字化场景含（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含：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作业调度、入库、盘点、出库等连贯过程），提供完整的视频并附带文字或语音讲解，以便秘书处预审。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三、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  <w:t>标杆单位推动规划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企业计划开展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数字化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仓库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标杆实施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的总体目标及措施</w:t>
            </w:r>
          </w:p>
        </w:tc>
        <w:tc>
          <w:tcPr>
            <w:tcW w:w="8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</w:trPr>
        <w:tc>
          <w:tcPr>
            <w:tcW w:w="1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申报企业：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年    月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1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审核意见：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审核单位（盖章）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2"/>
      </w:pPr>
      <w:r>
        <w:rPr>
          <w:rFonts w:hint="eastAsia" w:ascii="仿宋" w:hAnsi="仿宋" w:eastAsia="仿宋" w:cs="仿宋"/>
          <w:sz w:val="18"/>
          <w:szCs w:val="18"/>
        </w:rPr>
        <w:t>注：请将申报表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电子版</w:t>
      </w:r>
      <w:r>
        <w:rPr>
          <w:rFonts w:hint="eastAsia" w:ascii="仿宋" w:hAnsi="仿宋" w:eastAsia="仿宋" w:cs="仿宋"/>
          <w:sz w:val="18"/>
          <w:szCs w:val="18"/>
        </w:rPr>
        <w:t>和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盖章扫描版</w:t>
      </w:r>
      <w:r>
        <w:rPr>
          <w:rFonts w:hint="eastAsia" w:ascii="仿宋" w:hAnsi="仿宋" w:eastAsia="仿宋" w:cs="仿宋"/>
          <w:sz w:val="18"/>
          <w:szCs w:val="18"/>
        </w:rPr>
        <w:t>一起回传到中物联物联网专委会邮箱: zwlwlw@cflp.org.cn</w:t>
      </w: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51A278-4050-43FF-8170-973BF4080B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0860EA2-E811-4464-AADD-8BD26062CA1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5637EE8-B5A4-4D16-BE3E-8B5879693E5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16496005-B352-42D9-BA28-EC5D81AB6A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BED0370-BEC4-48CF-98C0-8A30EB2686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14"/>
    <w:rsid w:val="000C1933"/>
    <w:rsid w:val="000E0904"/>
    <w:rsid w:val="001871C9"/>
    <w:rsid w:val="001B5414"/>
    <w:rsid w:val="00250F7F"/>
    <w:rsid w:val="00274B73"/>
    <w:rsid w:val="002927C7"/>
    <w:rsid w:val="002A1B71"/>
    <w:rsid w:val="00314C75"/>
    <w:rsid w:val="00410DB7"/>
    <w:rsid w:val="00456A9C"/>
    <w:rsid w:val="00577E6F"/>
    <w:rsid w:val="00586431"/>
    <w:rsid w:val="005D1B44"/>
    <w:rsid w:val="0071324D"/>
    <w:rsid w:val="00733B04"/>
    <w:rsid w:val="00756B76"/>
    <w:rsid w:val="008009EC"/>
    <w:rsid w:val="008B3163"/>
    <w:rsid w:val="008C50E4"/>
    <w:rsid w:val="008D7626"/>
    <w:rsid w:val="008E3458"/>
    <w:rsid w:val="008E3E03"/>
    <w:rsid w:val="00915121"/>
    <w:rsid w:val="009667E3"/>
    <w:rsid w:val="00990C80"/>
    <w:rsid w:val="00A40002"/>
    <w:rsid w:val="00A5417B"/>
    <w:rsid w:val="00A64B41"/>
    <w:rsid w:val="00AD25E9"/>
    <w:rsid w:val="00B00383"/>
    <w:rsid w:val="00B2011F"/>
    <w:rsid w:val="00B71622"/>
    <w:rsid w:val="00B76414"/>
    <w:rsid w:val="00C05741"/>
    <w:rsid w:val="00DE28EE"/>
    <w:rsid w:val="00E140D9"/>
    <w:rsid w:val="00E32403"/>
    <w:rsid w:val="00FB5DC6"/>
    <w:rsid w:val="00FD2ADF"/>
    <w:rsid w:val="18314ABA"/>
    <w:rsid w:val="26E273CE"/>
    <w:rsid w:val="328739FF"/>
    <w:rsid w:val="40026E70"/>
    <w:rsid w:val="4DF66D53"/>
    <w:rsid w:val="533D4103"/>
    <w:rsid w:val="61FC3156"/>
    <w:rsid w:val="BBBD8B30"/>
    <w:rsid w:val="FDDF05B9"/>
    <w:rsid w:val="FEB7833E"/>
    <w:rsid w:val="FFF73029"/>
    <w:rsid w:val="FFFB8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208</Words>
  <Characters>1190</Characters>
  <Lines>9</Lines>
  <Paragraphs>2</Paragraphs>
  <TotalTime>2</TotalTime>
  <ScaleCrop>false</ScaleCrop>
  <LinksUpToDate>false</LinksUpToDate>
  <CharactersWithSpaces>1396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2022-03-04T13:41:00Z</dcterms:created>
  <dc:creator>11347151@qq.com</dc:creator>
  <cp:lastModifiedBy>邹娴</cp:lastModifiedBy>
  <dcterms:modified xsi:type="dcterms:W3CDTF">2022-04-18T08:04:23Z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0BBE917B43F749269D912E1EAD4689D0</vt:lpwstr>
  </property>
</Properties>
</file>