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color w:val="auto"/>
          <w:sz w:val="32"/>
          <w:szCs w:val="32"/>
          <w:highlight w:val="none"/>
          <w:lang w:val="en-US" w:eastAsia="zh-CN"/>
        </w:rPr>
      </w:pPr>
      <w:r>
        <w:rPr>
          <w:rFonts w:hint="eastAsia"/>
          <w:b/>
          <w:bCs/>
          <w:color w:val="auto"/>
          <w:sz w:val="32"/>
          <w:szCs w:val="32"/>
          <w:highlight w:val="none"/>
          <w:lang w:eastAsia="zh-CN"/>
        </w:rPr>
        <w:t>《网络零售药品配送服务规范》行业标准</w:t>
      </w:r>
      <w:r>
        <w:rPr>
          <w:rFonts w:hint="eastAsia"/>
          <w:b/>
          <w:bCs/>
          <w:color w:val="auto"/>
          <w:sz w:val="32"/>
          <w:szCs w:val="32"/>
          <w:highlight w:val="none"/>
          <w:lang w:val="en-US" w:eastAsia="zh-CN"/>
        </w:rPr>
        <w:t>（征求意见稿）</w:t>
      </w:r>
    </w:p>
    <w:p>
      <w:pPr>
        <w:jc w:val="center"/>
        <w:rPr>
          <w:rFonts w:hint="eastAsia"/>
          <w:b/>
          <w:bCs/>
          <w:color w:val="auto"/>
          <w:sz w:val="32"/>
          <w:szCs w:val="32"/>
          <w:highlight w:val="none"/>
        </w:rPr>
      </w:pPr>
      <w:r>
        <w:rPr>
          <w:rFonts w:hint="eastAsia"/>
          <w:b/>
          <w:bCs/>
          <w:color w:val="auto"/>
          <w:sz w:val="32"/>
          <w:szCs w:val="32"/>
          <w:highlight w:val="none"/>
        </w:rPr>
        <w:t>编制说明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工作简况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color w:val="auto"/>
          <w:sz w:val="32"/>
          <w:szCs w:val="32"/>
          <w:highlight w:val="none"/>
          <w:lang w:val="en-US" w:eastAsia="zh-CN"/>
        </w:rPr>
        <w:t>（一）</w:t>
      </w:r>
      <w:r>
        <w:rPr>
          <w:rFonts w:hint="eastAsia"/>
          <w:color w:val="auto"/>
          <w:sz w:val="32"/>
          <w:szCs w:val="32"/>
          <w:highlight w:val="none"/>
        </w:rPr>
        <w:t>任务来源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2022年11月30日，国家发展改革委办公厅印发了《关于推荐性物流行业标准项目计划的复函》，批准《网络零售药品配送服务规范》行业标准立项，项目编号：303-2022-004。该标准由中国物流与采购联合会医药物流分会组织起草，全国物流标准化技术委员会归口。</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color w:val="auto"/>
          <w:sz w:val="32"/>
          <w:szCs w:val="32"/>
          <w:highlight w:val="none"/>
        </w:rPr>
      </w:pPr>
      <w:r>
        <w:rPr>
          <w:rFonts w:hint="eastAsia"/>
          <w:color w:val="auto"/>
          <w:sz w:val="32"/>
          <w:szCs w:val="32"/>
          <w:highlight w:val="none"/>
        </w:rPr>
        <w:t>制定背景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近年，国家陆续出台了许多政策为医药新零售发展提供的大力支持。如新修订的《药品管理法》解禁网售处方药,为医药企业带来新的增长机会；出台的《国务院关于进一步改革完善药品生产流通使用政策的若干意见》中指出：培育大型现代药品流通骨干企业，中小企业向分销配送模式转型, 推进“互联网+药品流通”，鼓励网订店取，网订店配等新型配送方式；《国务院办公厅关于改革完善医疗卫生行业综合监管制度的指导意见》中也提到要针对“互联网+医疗健康”等医药卫生服务新技术、新设备、新业态等，加快标准制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互联网诊疗管理办法（试行）》、《互联网医院管理办法（试行）》规定处方经药师审核合格后方可生效，医疗机构、药品经营企业可委托符合条件的第三方机构配送。医药新零售模式正在逐步发展壮大，消费者关于药品配送的个性化要求越来越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《药品经营质量管理规范 附录6：药品零售配送质量管理》的出台，对药品零售企业在药品零售过程（含通过网络零售）所涉及的药品配送行为的质量管理进行规定，并没有直接对网络零售药品配送服务提供方进行规定。同时《规范》规定了制度、人员培训、设施设备、配送等方面，但规定配送方面的内容较少。为了加强内容的指导性，本标准在《规范》的基础上，进一步细化、补充和完善了网络零售药品配送的服务流程要求、档案管理、应急处置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为促进医药新零售业务规模化、规范化发展，中国物流与采购联合会组织起草该标准，希望能将网络零售药品配送等的流程和操作标准化、规范化。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color w:val="auto"/>
          <w:sz w:val="32"/>
          <w:szCs w:val="32"/>
          <w:highlight w:val="none"/>
          <w:lang w:val="en-US" w:eastAsia="zh-CN"/>
        </w:rPr>
        <w:t>（三）主要</w:t>
      </w:r>
      <w:r>
        <w:rPr>
          <w:rFonts w:hint="eastAsia"/>
          <w:color w:val="auto"/>
          <w:sz w:val="32"/>
          <w:szCs w:val="32"/>
          <w:highlight w:val="none"/>
        </w:rPr>
        <w:t>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（1）预研阶段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2022年，由中物联医药物流分会和外聘专家孟国栋提出了制定网络零售药品配送的提议，并着手开展标准制定工作。经过前期对网络零售行业市场情况及多次沟通，决定成立标准专项起草小组。于2022年12月形成标准草案，提交物标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（2）立项阶段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1.2022年2月28日，标准项目参加了全国物流标准化技术委员会在京召开的“2023年拟立项物流标准专家评估会”，并通过立项评估。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2.2022年11月30日，国家发展改革委办公厅印发了《关于推荐性物流行业标准项目计划的复函》，《网络零售药品配送服务规范》行业标准被正式批准立项。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（3）起草阶段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1.2023年1月到2023年3月，此项标准面向社会公开征集起草单位，并于2023年4月成立起草小组。标准起草小组由郭威总体负责。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3.2023年4月24日，《网络零售药品配送服务规范》行业标准启动会在武汉成功召开。会议上各起草单位代表对该标准的范围、框架等内容进行了讨论，提出了诸多建设性的意见，并明确了标准制定的工作进度计划。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4.2023年5月-7月，《网络零售药品配送服务规范》行业标准开展内部、外部线上调研工作（调研名单见表1）。共收集13条意见。</w:t>
      </w:r>
    </w:p>
    <w:tbl>
      <w:tblPr>
        <w:tblStyle w:val="10"/>
        <w:tblW w:w="6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1395"/>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color w:val="auto"/>
                <w:szCs w:val="21"/>
                <w:highlight w:val="none"/>
              </w:rPr>
            </w:pPr>
            <w:r>
              <w:rPr>
                <w:rFonts w:hint="eastAsia" w:ascii="楷体" w:hAnsi="楷体" w:eastAsia="楷体" w:cs="楷体"/>
                <w:color w:val="auto"/>
                <w:szCs w:val="21"/>
                <w:highlight w:val="none"/>
              </w:rPr>
              <w:t>序号</w:t>
            </w:r>
          </w:p>
        </w:tc>
        <w:tc>
          <w:tcPr>
            <w:tcW w:w="5139" w:type="dxa"/>
            <w:shd w:val="clear" w:color="000000" w:fill="auto"/>
            <w:vAlign w:val="center"/>
          </w:tcPr>
          <w:p>
            <w:pPr>
              <w:jc w:val="center"/>
              <w:rPr>
                <w:rFonts w:hint="eastAsia" w:ascii="楷体" w:hAnsi="楷体" w:eastAsia="楷体" w:cs="楷体"/>
                <w:color w:val="auto"/>
                <w:szCs w:val="21"/>
                <w:highlight w:val="none"/>
              </w:rPr>
            </w:pPr>
            <w:r>
              <w:rPr>
                <w:rFonts w:hint="eastAsia" w:ascii="楷体" w:hAnsi="楷体" w:eastAsia="楷体" w:cs="楷体"/>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center"/>
          </w:tcPr>
          <w:p>
            <w:pPr>
              <w:widowControl/>
              <w:textAlignment w:val="center"/>
              <w:rPr>
                <w:rFonts w:hint="eastAsia" w:ascii="楷体" w:hAnsi="楷体" w:eastAsia="楷体" w:cs="楷体"/>
                <w:color w:val="auto"/>
                <w:kern w:val="0"/>
                <w:szCs w:val="21"/>
                <w:highlight w:val="none"/>
              </w:rPr>
            </w:pPr>
            <w:r>
              <w:rPr>
                <w:rFonts w:hint="eastAsia" w:ascii="楷体" w:hAnsi="楷体" w:eastAsia="楷体" w:cs="楷体"/>
                <w:color w:val="auto"/>
                <w:kern w:val="0"/>
                <w:szCs w:val="21"/>
                <w:highlight w:val="none"/>
                <w:lang w:val="en-US" w:eastAsia="zh-CN"/>
              </w:rPr>
              <w:t>美团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center"/>
          </w:tcPr>
          <w:p>
            <w:pPr>
              <w:widowControl/>
              <w:textAlignment w:val="center"/>
              <w:rPr>
                <w:rFonts w:hint="default" w:ascii="楷体" w:hAnsi="楷体" w:eastAsia="楷体" w:cs="楷体"/>
                <w:color w:val="auto"/>
                <w:szCs w:val="21"/>
                <w:highlight w:val="none"/>
                <w:lang w:val="en-US" w:eastAsia="zh-CN"/>
              </w:rPr>
            </w:pPr>
            <w:r>
              <w:rPr>
                <w:rFonts w:hint="eastAsia" w:ascii="楷体" w:hAnsi="楷体" w:eastAsia="楷体" w:cs="楷体"/>
                <w:color w:val="auto"/>
                <w:kern w:val="0"/>
                <w:szCs w:val="21"/>
                <w:highlight w:val="none"/>
                <w:lang w:val="en-US" w:eastAsia="zh-CN"/>
              </w:rPr>
              <w:t>京东大健康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鹭燕医药股份有限公司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top"/>
          </w:tcPr>
          <w:p>
            <w:pPr>
              <w:widowControl/>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青岛海尔生物医疗股份有限公司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top"/>
          </w:tcPr>
          <w:p>
            <w:pPr>
              <w:widowControl/>
              <w:textAlignment w:val="center"/>
              <w:rPr>
                <w:rFonts w:hint="default" w:ascii="楷体" w:hAnsi="楷体" w:eastAsia="楷体" w:cs="楷体"/>
                <w:color w:val="auto"/>
                <w:kern w:val="0"/>
                <w:szCs w:val="21"/>
                <w:highlight w:val="none"/>
                <w:lang w:val="en-US" w:eastAsia="zh-CN"/>
              </w:rPr>
            </w:pPr>
            <w:r>
              <w:rPr>
                <w:rFonts w:hint="default" w:ascii="楷体" w:hAnsi="楷体" w:eastAsia="楷体" w:cs="楷体"/>
                <w:color w:val="auto"/>
                <w:kern w:val="0"/>
                <w:szCs w:val="21"/>
                <w:highlight w:val="none"/>
                <w:lang w:val="en-US" w:eastAsia="zh-CN"/>
              </w:rPr>
              <w:t>重庆桐君阁股份有限公司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益丰大药房连锁股份有限公司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95" w:type="dxa"/>
            <w:shd w:val="clear" w:color="000000" w:fill="auto"/>
            <w:vAlign w:val="center"/>
          </w:tcPr>
          <w:p>
            <w:pPr>
              <w:keepNext w:val="0"/>
              <w:keepLines w:val="0"/>
              <w:pageBreakBefore w:val="0"/>
              <w:widowControl w:val="0"/>
              <w:numPr>
                <w:ilvl w:val="0"/>
                <w:numId w:val="3"/>
              </w:numPr>
              <w:kinsoku/>
              <w:wordWrap/>
              <w:overflowPunct/>
              <w:topLinePunct w:val="0"/>
              <w:autoSpaceDE/>
              <w:autoSpaceDN/>
              <w:bidi w:val="0"/>
              <w:adjustRightInd/>
              <w:snapToGrid/>
              <w:ind w:left="635" w:leftChars="0" w:firstLineChars="0"/>
              <w:jc w:val="center"/>
              <w:textAlignment w:val="auto"/>
              <w:rPr>
                <w:rFonts w:hint="eastAsia" w:ascii="楷体" w:hAnsi="楷体" w:eastAsia="楷体" w:cs="楷体"/>
                <w:color w:val="auto"/>
                <w:szCs w:val="21"/>
                <w:highlight w:val="none"/>
              </w:rPr>
            </w:pPr>
          </w:p>
        </w:tc>
        <w:tc>
          <w:tcPr>
            <w:tcW w:w="5139" w:type="dxa"/>
            <w:shd w:val="clear" w:color="000000" w:fill="auto"/>
            <w:vAlign w:val="top"/>
          </w:tcPr>
          <w:p>
            <w:pPr>
              <w:widowControl/>
              <w:textAlignment w:val="center"/>
              <w:rPr>
                <w:rFonts w:hint="default" w:ascii="楷体" w:hAnsi="楷体" w:eastAsia="楷体" w:cs="楷体"/>
                <w:color w:val="auto"/>
                <w:kern w:val="0"/>
                <w:szCs w:val="21"/>
                <w:highlight w:val="none"/>
                <w:lang w:val="en-US" w:eastAsia="zh-CN"/>
              </w:rPr>
            </w:pPr>
            <w:r>
              <w:rPr>
                <w:rFonts w:hint="default" w:ascii="楷体" w:hAnsi="楷体" w:eastAsia="楷体" w:cs="楷体"/>
                <w:color w:val="auto"/>
                <w:kern w:val="0"/>
                <w:szCs w:val="21"/>
                <w:highlight w:val="none"/>
                <w:lang w:val="en-US" w:eastAsia="zh-CN"/>
              </w:rPr>
              <w:t>金华英特医药物流有限公司</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5.2023年9月7日，《网络零售药品配送服务规范》行业标准在长沙开展调研活动。走访了老百姓大药房、国药控股湖南维安大药房连锁有限公司2家企业。各调研企业对于标准中委托其他配送企业进行配送要求、冷藏/冷链药品的运输要求、服务流程等内容的可操作性提出了多方面的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6.2023年9月15日，《网络零售药品配送服务规范》行业标准在重庆开展调研活动。走访了重庆和平药房连锁有限责任公司、重庆好药师大药房连锁有限公司2家企业。调研企业建议细化配送前准备内容、增加服务满意度、配送时效的评价要求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7.2023年10月，形成了征求意见稿，向全国物流标准化技术委员会提交征求意见稿及相关材料。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color w:val="auto"/>
          <w:sz w:val="32"/>
          <w:szCs w:val="32"/>
          <w:highlight w:val="none"/>
          <w:lang w:val="en-US" w:eastAsia="zh-CN"/>
        </w:rPr>
      </w:pPr>
      <w:r>
        <w:rPr>
          <w:rFonts w:hint="eastAsia"/>
          <w:color w:val="auto"/>
          <w:sz w:val="32"/>
          <w:szCs w:val="32"/>
          <w:highlight w:val="none"/>
          <w:lang w:val="en-US" w:eastAsia="zh-CN"/>
        </w:rPr>
        <w:t>起草单位、主要起草人及其所做的工作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起草单位、主要起草人分工及其所做的工作如表2</w:t>
      </w:r>
    </w:p>
    <w:p>
      <w:pPr>
        <w:widowControl/>
        <w:tabs>
          <w:tab w:val="left" w:pos="540"/>
        </w:tabs>
        <w:spacing w:line="276" w:lineRule="auto"/>
        <w:ind w:firstLine="359" w:firstLineChars="171"/>
        <w:contextualSpacing/>
        <w:jc w:val="center"/>
        <w:rPr>
          <w:rFonts w:hint="eastAsia" w:ascii="黑体" w:hAnsi="黑体" w:eastAsia="黑体" w:cs="黑体"/>
          <w:color w:val="auto"/>
          <w:kern w:val="0"/>
          <w:szCs w:val="21"/>
          <w:highlight w:val="none"/>
        </w:rPr>
      </w:pPr>
      <w:r>
        <w:rPr>
          <w:rFonts w:hint="eastAsia" w:ascii="黑体" w:hAnsi="黑体" w:eastAsia="黑体" w:cs="黑体"/>
          <w:color w:val="auto"/>
          <w:kern w:val="0"/>
          <w:szCs w:val="21"/>
          <w:highlight w:val="none"/>
        </w:rPr>
        <w:t>表</w:t>
      </w:r>
      <w:r>
        <w:rPr>
          <w:rFonts w:hint="eastAsia" w:ascii="黑体" w:hAnsi="黑体" w:eastAsia="黑体" w:cs="黑体"/>
          <w:color w:val="auto"/>
          <w:kern w:val="0"/>
          <w:szCs w:val="21"/>
          <w:highlight w:val="none"/>
          <w:lang w:val="en-US" w:eastAsia="zh-CN"/>
        </w:rPr>
        <w:t>2</w:t>
      </w:r>
      <w:r>
        <w:rPr>
          <w:rFonts w:hint="eastAsia" w:ascii="黑体" w:hAnsi="黑体" w:eastAsia="黑体" w:cs="黑体"/>
          <w:color w:val="auto"/>
          <w:kern w:val="0"/>
          <w:szCs w:val="21"/>
          <w:highlight w:val="none"/>
        </w:rPr>
        <w:t xml:space="preserve"> 标准任务分工</w:t>
      </w:r>
    </w:p>
    <w:tbl>
      <w:tblPr>
        <w:tblStyle w:val="10"/>
        <w:tblW w:w="9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640"/>
        <w:gridCol w:w="3672"/>
        <w:gridCol w:w="1223"/>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jc w:val="center"/>
              <w:rPr>
                <w:rFonts w:hint="eastAsia" w:ascii="楷体" w:hAnsi="楷体" w:eastAsia="楷体" w:cs="楷体"/>
                <w:color w:val="auto"/>
                <w:szCs w:val="21"/>
                <w:highlight w:val="none"/>
              </w:rPr>
            </w:pPr>
            <w:r>
              <w:rPr>
                <w:rFonts w:hint="eastAsia" w:ascii="楷体" w:hAnsi="楷体" w:eastAsia="楷体" w:cs="楷体"/>
                <w:color w:val="auto"/>
                <w:szCs w:val="21"/>
                <w:highlight w:val="none"/>
              </w:rPr>
              <w:t>序号</w:t>
            </w:r>
          </w:p>
        </w:tc>
        <w:tc>
          <w:tcPr>
            <w:tcW w:w="3672" w:type="dxa"/>
            <w:shd w:val="clear" w:color="000000" w:fill="auto"/>
            <w:vAlign w:val="center"/>
          </w:tcPr>
          <w:p>
            <w:pPr>
              <w:jc w:val="center"/>
              <w:rPr>
                <w:rFonts w:hint="eastAsia" w:ascii="楷体" w:hAnsi="楷体" w:eastAsia="楷体" w:cs="楷体"/>
                <w:color w:val="auto"/>
                <w:szCs w:val="21"/>
                <w:highlight w:val="none"/>
              </w:rPr>
            </w:pPr>
            <w:r>
              <w:rPr>
                <w:rFonts w:hint="eastAsia" w:ascii="楷体" w:hAnsi="楷体" w:eastAsia="楷体" w:cs="楷体"/>
                <w:color w:val="auto"/>
                <w:szCs w:val="21"/>
                <w:highlight w:val="none"/>
                <w:lang w:val="en-US" w:eastAsia="zh-CN"/>
              </w:rPr>
              <w:t>起草</w:t>
            </w:r>
            <w:r>
              <w:rPr>
                <w:rFonts w:hint="eastAsia" w:ascii="楷体" w:hAnsi="楷体" w:eastAsia="楷体" w:cs="楷体"/>
                <w:color w:val="auto"/>
                <w:szCs w:val="21"/>
                <w:highlight w:val="none"/>
              </w:rPr>
              <w:t>单位</w:t>
            </w:r>
          </w:p>
        </w:tc>
        <w:tc>
          <w:tcPr>
            <w:tcW w:w="1223" w:type="dxa"/>
            <w:shd w:val="clear" w:color="000000" w:fill="auto"/>
            <w:vAlign w:val="center"/>
          </w:tcPr>
          <w:p>
            <w:pPr>
              <w:jc w:val="center"/>
              <w:rPr>
                <w:rFonts w:hint="eastAsia" w:ascii="楷体" w:hAnsi="楷体" w:eastAsia="楷体" w:cs="楷体"/>
                <w:color w:val="auto"/>
                <w:szCs w:val="21"/>
                <w:highlight w:val="none"/>
                <w:lang w:val="en-US" w:eastAsia="zh-CN"/>
              </w:rPr>
            </w:pPr>
            <w:r>
              <w:rPr>
                <w:rFonts w:hint="eastAsia" w:ascii="楷体" w:hAnsi="楷体" w:eastAsia="楷体" w:cs="楷体"/>
                <w:color w:val="auto"/>
                <w:szCs w:val="21"/>
                <w:highlight w:val="none"/>
                <w:lang w:val="en-US" w:eastAsia="zh-CN"/>
              </w:rPr>
              <w:t>起草人</w:t>
            </w:r>
          </w:p>
        </w:tc>
        <w:tc>
          <w:tcPr>
            <w:tcW w:w="3879" w:type="dxa"/>
            <w:shd w:val="clear" w:color="000000" w:fill="auto"/>
            <w:vAlign w:val="center"/>
          </w:tcPr>
          <w:p>
            <w:pPr>
              <w:jc w:val="center"/>
              <w:rPr>
                <w:rFonts w:hint="eastAsia" w:ascii="楷体" w:hAnsi="楷体" w:eastAsia="楷体" w:cs="楷体"/>
                <w:color w:val="auto"/>
                <w:szCs w:val="21"/>
                <w:highlight w:val="none"/>
              </w:rPr>
            </w:pPr>
            <w:r>
              <w:rPr>
                <w:rFonts w:hint="eastAsia" w:ascii="楷体" w:hAnsi="楷体" w:eastAsia="楷体" w:cs="楷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center"/>
          </w:tcPr>
          <w:p>
            <w:pPr>
              <w:widowControl/>
              <w:textAlignment w:val="center"/>
              <w:rPr>
                <w:rFonts w:hint="eastAsia" w:ascii="楷体" w:hAnsi="楷体" w:eastAsia="楷体" w:cs="楷体"/>
                <w:color w:val="auto"/>
                <w:kern w:val="0"/>
                <w:szCs w:val="21"/>
                <w:highlight w:val="none"/>
              </w:rPr>
            </w:pPr>
            <w:r>
              <w:rPr>
                <w:rFonts w:hint="eastAsia" w:ascii="楷体" w:hAnsi="楷体" w:eastAsia="楷体" w:cs="楷体"/>
                <w:color w:val="auto"/>
                <w:kern w:val="0"/>
                <w:szCs w:val="21"/>
                <w:highlight w:val="none"/>
                <w:lang w:val="en-US" w:eastAsia="zh-CN"/>
              </w:rPr>
              <w:t>拉扎斯网络科技（上海）有限公司</w:t>
            </w:r>
          </w:p>
        </w:tc>
        <w:tc>
          <w:tcPr>
            <w:tcW w:w="1223"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韩鎏</w:t>
            </w:r>
            <w:r>
              <w:rPr>
                <w:rFonts w:hint="eastAsia" w:ascii="楷体" w:hAnsi="楷体" w:eastAsia="楷体" w:cs="楷体"/>
                <w:color w:val="auto"/>
                <w:szCs w:val="21"/>
                <w:highlight w:val="none"/>
                <w:lang w:eastAsia="zh-CN"/>
              </w:rPr>
              <w:t>、</w:t>
            </w:r>
            <w:r>
              <w:rPr>
                <w:rFonts w:hint="eastAsia" w:ascii="楷体" w:hAnsi="楷体" w:eastAsia="楷体" w:cs="楷体"/>
                <w:color w:val="auto"/>
                <w:szCs w:val="21"/>
                <w:highlight w:val="none"/>
                <w:lang w:val="en-US" w:eastAsia="zh-CN"/>
              </w:rPr>
              <w:t>王哲</w:t>
            </w:r>
          </w:p>
        </w:tc>
        <w:tc>
          <w:tcPr>
            <w:tcW w:w="3879"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lang w:val="en-US" w:eastAsia="zh-CN"/>
              </w:rPr>
              <w:t>项目提出单位。</w:t>
            </w:r>
            <w:r>
              <w:rPr>
                <w:rFonts w:hint="eastAsia" w:ascii="楷体" w:hAnsi="楷体" w:eastAsia="楷体" w:cs="楷体"/>
                <w:color w:val="auto"/>
                <w:szCs w:val="21"/>
                <w:highlight w:val="none"/>
              </w:rPr>
              <w:t>参与小组的研讨、</w:t>
            </w:r>
            <w:r>
              <w:rPr>
                <w:rFonts w:hint="eastAsia" w:ascii="楷体" w:hAnsi="楷体" w:eastAsia="楷体" w:cs="楷体"/>
                <w:color w:val="auto"/>
                <w:szCs w:val="21"/>
                <w:highlight w:val="none"/>
                <w:lang w:val="en-US" w:eastAsia="zh-CN"/>
              </w:rPr>
              <w:t>协助修改标准内容、</w:t>
            </w:r>
            <w:r>
              <w:rPr>
                <w:rFonts w:hint="eastAsia" w:ascii="楷体" w:hAnsi="楷体" w:eastAsia="楷体" w:cs="楷体"/>
                <w:color w:val="auto"/>
                <w:szCs w:val="21"/>
                <w:highlight w:val="none"/>
              </w:rPr>
              <w:t>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center"/>
          </w:tcPr>
          <w:p>
            <w:pPr>
              <w:widowControl/>
              <w:textAlignment w:val="center"/>
              <w:rPr>
                <w:rFonts w:hint="default" w:ascii="楷体" w:hAnsi="楷体" w:eastAsia="楷体" w:cs="楷体"/>
                <w:color w:val="auto"/>
                <w:szCs w:val="21"/>
                <w:highlight w:val="none"/>
                <w:lang w:val="en-US" w:eastAsia="zh-CN"/>
              </w:rPr>
            </w:pPr>
            <w:r>
              <w:rPr>
                <w:rFonts w:hint="eastAsia" w:ascii="楷体" w:hAnsi="楷体" w:eastAsia="楷体" w:cs="楷体"/>
                <w:color w:val="auto"/>
                <w:kern w:val="0"/>
                <w:szCs w:val="21"/>
                <w:highlight w:val="none"/>
              </w:rPr>
              <w:t>中国物流与采购联合会</w:t>
            </w:r>
            <w:r>
              <w:rPr>
                <w:rFonts w:hint="eastAsia" w:ascii="楷体" w:hAnsi="楷体" w:eastAsia="楷体" w:cs="楷体"/>
                <w:color w:val="auto"/>
                <w:kern w:val="0"/>
                <w:szCs w:val="21"/>
                <w:highlight w:val="none"/>
                <w:lang w:val="en-US" w:eastAsia="zh-CN"/>
              </w:rPr>
              <w:t>医药物流分会</w:t>
            </w:r>
          </w:p>
        </w:tc>
        <w:tc>
          <w:tcPr>
            <w:tcW w:w="1223" w:type="dxa"/>
            <w:shd w:val="clear" w:color="000000" w:fill="auto"/>
            <w:vAlign w:val="center"/>
          </w:tcPr>
          <w:p>
            <w:pPr>
              <w:rPr>
                <w:rFonts w:hint="eastAsia" w:ascii="楷体" w:hAnsi="楷体" w:eastAsia="楷体" w:cs="楷体"/>
                <w:color w:val="auto"/>
                <w:szCs w:val="21"/>
                <w:highlight w:val="none"/>
                <w:lang w:val="en-US" w:eastAsia="zh-CN"/>
              </w:rPr>
            </w:pPr>
            <w:r>
              <w:rPr>
                <w:rFonts w:hint="eastAsia" w:ascii="楷体" w:hAnsi="楷体" w:eastAsia="楷体" w:cs="楷体"/>
                <w:color w:val="auto"/>
                <w:szCs w:val="21"/>
                <w:highlight w:val="none"/>
              </w:rPr>
              <w:t>秦玉鸣</w:t>
            </w:r>
            <w:r>
              <w:rPr>
                <w:rFonts w:hint="eastAsia" w:ascii="楷体" w:hAnsi="楷体" w:eastAsia="楷体" w:cs="楷体"/>
                <w:color w:val="auto"/>
                <w:szCs w:val="21"/>
                <w:highlight w:val="none"/>
                <w:lang w:eastAsia="zh-CN"/>
              </w:rPr>
              <w:t>、</w:t>
            </w:r>
            <w:r>
              <w:rPr>
                <w:rFonts w:hint="eastAsia" w:ascii="楷体" w:hAnsi="楷体" w:eastAsia="楷体" w:cs="楷体"/>
                <w:color w:val="auto"/>
                <w:szCs w:val="21"/>
                <w:highlight w:val="none"/>
                <w:lang w:val="en-US" w:eastAsia="zh-CN"/>
              </w:rPr>
              <w:t>郭威、王晓晓、刘洋</w:t>
            </w:r>
          </w:p>
        </w:tc>
        <w:tc>
          <w:tcPr>
            <w:tcW w:w="3879"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lang w:val="en-US" w:eastAsia="zh-CN"/>
              </w:rPr>
              <w:t>牵头起草单位。</w:t>
            </w:r>
            <w:r>
              <w:rPr>
                <w:rFonts w:hint="eastAsia" w:ascii="楷体" w:hAnsi="楷体" w:eastAsia="楷体" w:cs="楷体"/>
                <w:color w:val="auto"/>
                <w:szCs w:val="21"/>
                <w:highlight w:val="none"/>
              </w:rPr>
              <w:t>参与</w:t>
            </w:r>
            <w:r>
              <w:rPr>
                <w:rFonts w:hint="eastAsia" w:ascii="楷体" w:hAnsi="楷体" w:eastAsia="楷体" w:cs="楷体"/>
                <w:color w:val="auto"/>
                <w:szCs w:val="21"/>
                <w:highlight w:val="none"/>
                <w:lang w:val="en-US" w:eastAsia="zh-CN"/>
              </w:rPr>
              <w:t>小组</w:t>
            </w:r>
            <w:r>
              <w:rPr>
                <w:rFonts w:hint="eastAsia" w:ascii="楷体" w:hAnsi="楷体" w:eastAsia="楷体" w:cs="楷体"/>
                <w:color w:val="auto"/>
                <w:szCs w:val="21"/>
                <w:highlight w:val="none"/>
              </w:rPr>
              <w:t>讨论，负责标准的汇总、初审，提出标准编写的建议，</w:t>
            </w:r>
            <w:r>
              <w:rPr>
                <w:rFonts w:hint="eastAsia" w:ascii="楷体" w:hAnsi="楷体" w:eastAsia="楷体" w:cs="楷体"/>
                <w:color w:val="auto"/>
                <w:szCs w:val="21"/>
                <w:highlight w:val="none"/>
                <w:lang w:val="en-US" w:eastAsia="zh-CN"/>
              </w:rPr>
              <w:t>对</w:t>
            </w:r>
            <w:r>
              <w:rPr>
                <w:rFonts w:hint="eastAsia" w:ascii="楷体" w:hAnsi="楷体" w:eastAsia="楷体" w:cs="楷体"/>
                <w:color w:val="auto"/>
                <w:szCs w:val="21"/>
                <w:highlight w:val="none"/>
              </w:rPr>
              <w:t>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深圳顺丰泰森控股（集团）有限公司</w:t>
            </w:r>
          </w:p>
        </w:tc>
        <w:tc>
          <w:tcPr>
            <w:tcW w:w="1223" w:type="dxa"/>
            <w:shd w:val="clear" w:color="000000" w:fill="auto"/>
            <w:vAlign w:val="center"/>
          </w:tcPr>
          <w:p>
            <w:pPr>
              <w:rPr>
                <w:rFonts w:hint="eastAsia" w:ascii="楷体" w:hAnsi="楷体" w:eastAsia="楷体" w:cs="楷体"/>
                <w:color w:val="auto"/>
                <w:szCs w:val="21"/>
                <w:highlight w:val="none"/>
                <w:lang w:val="en-US" w:eastAsia="zh-CN"/>
              </w:rPr>
            </w:pPr>
            <w:r>
              <w:rPr>
                <w:rFonts w:hint="eastAsia" w:ascii="楷体" w:hAnsi="楷体" w:eastAsia="楷体" w:cs="楷体"/>
                <w:color w:val="auto"/>
                <w:szCs w:val="21"/>
                <w:highlight w:val="none"/>
                <w:lang w:val="en-US" w:eastAsia="zh-CN"/>
              </w:rPr>
              <w:t>刘为敏</w:t>
            </w:r>
          </w:p>
        </w:tc>
        <w:tc>
          <w:tcPr>
            <w:tcW w:w="3879" w:type="dxa"/>
            <w:shd w:val="clear" w:color="000000" w:fill="auto"/>
            <w:vAlign w:val="center"/>
          </w:tcPr>
          <w:p>
            <w:pPr>
              <w:rPr>
                <w:rFonts w:hint="eastAsia" w:ascii="楷体" w:hAnsi="楷体" w:eastAsia="楷体" w:cs="楷体"/>
                <w:color w:val="auto"/>
                <w:szCs w:val="21"/>
                <w:highlight w:val="none"/>
                <w:lang w:val="en-US" w:eastAsia="zh-CN"/>
              </w:rPr>
            </w:pPr>
            <w:r>
              <w:rPr>
                <w:rFonts w:hint="eastAsia" w:ascii="楷体" w:hAnsi="楷体" w:eastAsia="楷体" w:cs="楷体"/>
                <w:color w:val="auto"/>
                <w:szCs w:val="21"/>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个人</w:t>
            </w:r>
          </w:p>
        </w:tc>
        <w:tc>
          <w:tcPr>
            <w:tcW w:w="1223" w:type="dxa"/>
            <w:shd w:val="clear" w:color="000000" w:fill="auto"/>
            <w:vAlign w:val="center"/>
          </w:tcPr>
          <w:p>
            <w:pPr>
              <w:rPr>
                <w:rFonts w:hint="eastAsia" w:ascii="楷体" w:hAnsi="楷体" w:eastAsia="楷体" w:cs="楷体"/>
                <w:color w:val="auto"/>
                <w:szCs w:val="21"/>
                <w:highlight w:val="none"/>
                <w:lang w:val="en-US" w:eastAsia="zh-CN"/>
              </w:rPr>
            </w:pPr>
            <w:r>
              <w:rPr>
                <w:rFonts w:hint="eastAsia" w:ascii="楷体" w:hAnsi="楷体" w:eastAsia="楷体" w:cs="楷体"/>
                <w:color w:val="auto"/>
                <w:kern w:val="0"/>
                <w:szCs w:val="21"/>
                <w:highlight w:val="none"/>
                <w:lang w:val="en-US" w:eastAsia="zh-CN"/>
              </w:rPr>
              <w:t>孟国栋</w:t>
            </w:r>
          </w:p>
        </w:tc>
        <w:tc>
          <w:tcPr>
            <w:tcW w:w="3879"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lang w:val="en-US" w:eastAsia="zh-CN"/>
              </w:rPr>
              <w:t>标准编写专家</w:t>
            </w:r>
            <w:r>
              <w:rPr>
                <w:rFonts w:hint="eastAsia" w:ascii="楷体" w:hAnsi="楷体" w:eastAsia="楷体" w:cs="楷体"/>
                <w:color w:val="auto"/>
                <w:szCs w:val="21"/>
                <w:highlight w:val="none"/>
              </w:rPr>
              <w:t>，</w:t>
            </w:r>
            <w:r>
              <w:rPr>
                <w:rFonts w:hint="eastAsia" w:ascii="楷体" w:hAnsi="楷体" w:eastAsia="楷体" w:cs="楷体"/>
                <w:color w:val="auto"/>
                <w:szCs w:val="21"/>
                <w:highlight w:val="none"/>
                <w:lang w:val="en-US" w:eastAsia="zh-CN"/>
              </w:rPr>
              <w:t>修改</w:t>
            </w:r>
            <w:r>
              <w:rPr>
                <w:rFonts w:hint="eastAsia" w:ascii="楷体" w:hAnsi="楷体" w:eastAsia="楷体" w:cs="楷体"/>
                <w:color w:val="auto"/>
                <w:szCs w:val="21"/>
                <w:highlight w:val="none"/>
              </w:rPr>
              <w:t>标准内容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个人</w:t>
            </w:r>
          </w:p>
        </w:tc>
        <w:tc>
          <w:tcPr>
            <w:tcW w:w="1223"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kern w:val="0"/>
                <w:szCs w:val="21"/>
                <w:highlight w:val="none"/>
                <w:lang w:val="en-US" w:eastAsia="zh-CN"/>
              </w:rPr>
              <w:t>李亚武</w:t>
            </w:r>
          </w:p>
        </w:tc>
        <w:tc>
          <w:tcPr>
            <w:tcW w:w="3879"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参与小组的研讨、提出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老百姓大药房连锁股份有限公司</w:t>
            </w:r>
          </w:p>
        </w:tc>
        <w:tc>
          <w:tcPr>
            <w:tcW w:w="1223"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姚共亲</w:t>
            </w:r>
          </w:p>
        </w:tc>
        <w:tc>
          <w:tcPr>
            <w:tcW w:w="3879"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漱玉平民大药房连锁股份有限公司</w:t>
            </w:r>
          </w:p>
        </w:tc>
        <w:tc>
          <w:tcPr>
            <w:tcW w:w="1223"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肖进</w:t>
            </w:r>
          </w:p>
        </w:tc>
        <w:tc>
          <w:tcPr>
            <w:tcW w:w="3879"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河南张仲景大药房股份有限公司</w:t>
            </w:r>
          </w:p>
        </w:tc>
        <w:tc>
          <w:tcPr>
            <w:tcW w:w="1223"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杨明江</w:t>
            </w:r>
          </w:p>
        </w:tc>
        <w:tc>
          <w:tcPr>
            <w:tcW w:w="3879"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好药师大药房连锁有限公司</w:t>
            </w:r>
          </w:p>
        </w:tc>
        <w:tc>
          <w:tcPr>
            <w:tcW w:w="1223"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刘黄河</w:t>
            </w:r>
          </w:p>
        </w:tc>
        <w:tc>
          <w:tcPr>
            <w:tcW w:w="3879"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鹭燕医药股份有限公司</w:t>
            </w:r>
          </w:p>
        </w:tc>
        <w:tc>
          <w:tcPr>
            <w:tcW w:w="1223"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李晓辉</w:t>
            </w:r>
          </w:p>
        </w:tc>
        <w:tc>
          <w:tcPr>
            <w:tcW w:w="3879"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上海腾翼搏时供应链有限公司</w:t>
            </w:r>
          </w:p>
        </w:tc>
        <w:tc>
          <w:tcPr>
            <w:tcW w:w="1223"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于松海</w:t>
            </w:r>
          </w:p>
        </w:tc>
        <w:tc>
          <w:tcPr>
            <w:tcW w:w="3879" w:type="dxa"/>
            <w:shd w:val="clear" w:color="000000" w:fill="auto"/>
            <w:vAlign w:val="center"/>
          </w:tcPr>
          <w:p>
            <w:pPr>
              <w:rPr>
                <w:rFonts w:hint="eastAsia" w:ascii="楷体" w:hAnsi="楷体" w:eastAsia="楷体" w:cs="楷体"/>
                <w:color w:val="auto"/>
                <w:kern w:val="2"/>
                <w:sz w:val="21"/>
                <w:szCs w:val="21"/>
                <w:highlight w:val="none"/>
                <w:lang w:val="en-US" w:eastAsia="zh-CN" w:bidi="ar-SA"/>
              </w:rPr>
            </w:pPr>
            <w:r>
              <w:rPr>
                <w:rFonts w:hint="eastAsia" w:ascii="楷体" w:hAnsi="楷体" w:eastAsia="楷体" w:cs="楷体"/>
                <w:color w:val="auto"/>
                <w:szCs w:val="21"/>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青岛海尔生物医疗股份有限公司</w:t>
            </w:r>
          </w:p>
        </w:tc>
        <w:tc>
          <w:tcPr>
            <w:tcW w:w="1223"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刘占杰</w:t>
            </w:r>
          </w:p>
        </w:tc>
        <w:tc>
          <w:tcPr>
            <w:tcW w:w="3879" w:type="dxa"/>
            <w:shd w:val="clear" w:color="000000" w:fill="auto"/>
            <w:vAlign w:val="center"/>
          </w:tcPr>
          <w:p>
            <w:pPr>
              <w:rPr>
                <w:rFonts w:hint="eastAsia" w:ascii="楷体" w:hAnsi="楷体" w:eastAsia="楷体" w:cs="楷体"/>
                <w:color w:val="auto"/>
                <w:kern w:val="2"/>
                <w:sz w:val="21"/>
                <w:szCs w:val="21"/>
                <w:highlight w:val="none"/>
                <w:lang w:val="en-US" w:eastAsia="zh-CN" w:bidi="ar-SA"/>
              </w:rPr>
            </w:pPr>
            <w:r>
              <w:rPr>
                <w:rFonts w:hint="eastAsia" w:ascii="楷体" w:hAnsi="楷体" w:eastAsia="楷体" w:cs="楷体"/>
                <w:color w:val="auto"/>
                <w:szCs w:val="21"/>
                <w:highlight w:val="none"/>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德力新能源汽车有限公司</w:t>
            </w:r>
          </w:p>
        </w:tc>
        <w:tc>
          <w:tcPr>
            <w:tcW w:w="1223"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柳泽中</w:t>
            </w:r>
          </w:p>
        </w:tc>
        <w:tc>
          <w:tcPr>
            <w:tcW w:w="3879"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4"/>
              </w:numPr>
              <w:ind w:left="635" w:leftChars="0" w:hanging="425" w:firstLineChars="0"/>
              <w:rPr>
                <w:rFonts w:hint="eastAsia" w:ascii="楷体" w:hAnsi="楷体" w:eastAsia="楷体" w:cs="楷体"/>
                <w:color w:val="auto"/>
                <w:szCs w:val="21"/>
                <w:highlight w:val="none"/>
              </w:rPr>
            </w:pPr>
          </w:p>
        </w:tc>
        <w:tc>
          <w:tcPr>
            <w:tcW w:w="3672" w:type="dxa"/>
            <w:shd w:val="clear" w:color="000000" w:fill="auto"/>
            <w:vAlign w:val="top"/>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四川万物纪年信息科技有限公司</w:t>
            </w:r>
          </w:p>
        </w:tc>
        <w:tc>
          <w:tcPr>
            <w:tcW w:w="1223" w:type="dxa"/>
            <w:shd w:val="clear" w:color="000000" w:fill="auto"/>
            <w:vAlign w:val="center"/>
          </w:tcPr>
          <w:p>
            <w:pPr>
              <w:rPr>
                <w:rFonts w:hint="eastAsia" w:ascii="楷体" w:hAnsi="楷体" w:eastAsia="楷体" w:cs="楷体"/>
                <w:color w:val="auto"/>
                <w:szCs w:val="21"/>
                <w:highlight w:val="none"/>
              </w:rPr>
            </w:pPr>
            <w:r>
              <w:rPr>
                <w:rFonts w:hint="eastAsia" w:ascii="楷体" w:hAnsi="楷体" w:eastAsia="楷体" w:cs="楷体"/>
                <w:color w:val="auto"/>
                <w:szCs w:val="21"/>
                <w:highlight w:val="none"/>
              </w:rPr>
              <w:t>王雅萍</w:t>
            </w:r>
          </w:p>
        </w:tc>
        <w:tc>
          <w:tcPr>
            <w:tcW w:w="3879" w:type="dxa"/>
            <w:shd w:val="clear" w:color="000000" w:fill="auto"/>
            <w:vAlign w:val="center"/>
          </w:tcPr>
          <w:p>
            <w:pPr>
              <w:rPr>
                <w:rFonts w:hint="eastAsia" w:ascii="楷体" w:hAnsi="楷体" w:eastAsia="楷体" w:cs="楷体"/>
                <w:color w:val="auto"/>
                <w:szCs w:val="21"/>
                <w:highlight w:val="none"/>
                <w:lang w:eastAsia="zh-CN"/>
              </w:rPr>
            </w:pPr>
            <w:r>
              <w:rPr>
                <w:rFonts w:hint="eastAsia" w:ascii="楷体" w:hAnsi="楷体" w:eastAsia="楷体" w:cs="楷体"/>
                <w:color w:val="auto"/>
                <w:szCs w:val="21"/>
                <w:highlight w:val="none"/>
              </w:rPr>
              <w:t>参加标准的论证，提出</w:t>
            </w:r>
            <w:r>
              <w:rPr>
                <w:rFonts w:hint="eastAsia" w:ascii="楷体" w:hAnsi="楷体" w:eastAsia="楷体" w:cs="楷体"/>
                <w:color w:val="auto"/>
                <w:szCs w:val="21"/>
                <w:highlight w:val="none"/>
                <w:lang w:eastAsia="zh-CN"/>
              </w:rPr>
              <w:t>修改意见</w:t>
            </w:r>
          </w:p>
        </w:tc>
      </w:tr>
    </w:tbl>
    <w:p>
      <w:pPr>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二、编制原则、主要内容及其确定的来源和依据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val="en-US" w:eastAsia="zh-CN"/>
        </w:rPr>
      </w:pPr>
      <w:r>
        <w:rPr>
          <w:rFonts w:hint="eastAsia"/>
          <w:color w:val="auto"/>
          <w:sz w:val="32"/>
          <w:szCs w:val="32"/>
          <w:highlight w:val="none"/>
          <w:lang w:eastAsia="zh-CN"/>
        </w:rPr>
        <w:t>（</w:t>
      </w:r>
      <w:r>
        <w:rPr>
          <w:rFonts w:hint="eastAsia"/>
          <w:color w:val="auto"/>
          <w:sz w:val="32"/>
          <w:szCs w:val="32"/>
          <w:highlight w:val="none"/>
          <w:lang w:val="en-US" w:eastAsia="zh-CN"/>
        </w:rPr>
        <w:t>一）编制原则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1、指导性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标准能够规范药品网络零售配送行为，为药品网络零售配送中制度管理、人员培训、设施设备管理、服务流程要求、档案管理、应急处置等工作提供参考依据。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2、适用性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本标准与现行的法律法规相互协调，且规定的条款适用我国目前行业发展的现状，在行业内具有普遍适用性。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color w:val="auto"/>
          <w:sz w:val="32"/>
          <w:szCs w:val="32"/>
          <w:highlight w:val="none"/>
          <w:lang w:val="en-US" w:eastAsia="zh-CN"/>
        </w:rPr>
        <w:t>（二）主要内容及其确定依据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1、标准范围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本文件规定了网络零售药品配送基本要求，人员与培训、设施设备、服务流程、信息管理、档案管理、应急处置、服务评价与改进等要求。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本文件适用于网络零售药品配送的服务与管理。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lang w:val="en-US" w:eastAsia="zh-CN" w:bidi="ar-SA"/>
        </w:rPr>
        <w:t>2、</w:t>
      </w:r>
      <w:r>
        <w:rPr>
          <w:rFonts w:hint="eastAsia" w:ascii="楷体" w:hAnsi="楷体" w:eastAsia="楷体" w:cs="楷体"/>
          <w:color w:val="auto"/>
          <w:sz w:val="32"/>
          <w:szCs w:val="32"/>
          <w:highlight w:val="none"/>
          <w:lang w:val="en-US" w:eastAsia="zh-CN"/>
        </w:rPr>
        <w:t>规范性引用文件</w:t>
      </w:r>
    </w:p>
    <w:p>
      <w:pPr>
        <w:keepNext w:val="0"/>
        <w:keepLines w:val="0"/>
        <w:pageBreakBefore w:val="0"/>
        <w:widowControl w:val="0"/>
        <w:numPr>
          <w:ilvl w:val="-1"/>
          <w:numId w:val="0"/>
        </w:numPr>
        <w:kinsoku/>
        <w:wordWrap/>
        <w:overflowPunct/>
        <w:topLinePunct w:val="0"/>
        <w:autoSpaceDE/>
        <w:autoSpaceDN/>
        <w:bidi w:val="0"/>
        <w:adjustRightInd/>
        <w:snapToGrid/>
        <w:ind w:firstLine="0" w:firstLineChars="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标准中在信息、药品冷链物流、验证、保温箱、冷藏车配置等方面引用了如下标准GB/T 20269《信息安全技术 信息系统安全管理要求 》、GB/T 20270《信息安全技术 网络基础安全技术要求 》、GB/T 20271《信息安全技术 信息系统通用安全技术要求》、GB/T 28842《药品冷链物流运作规范》、GB/T 34399《医药产品冷链物流温控设施设备验证 性能确认技术规范》、WB/T 1097《药品冷链保温箱通用规范》、WB/T 1104《道路运输 医药产品冷藏车功能配置要求》。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lang w:val="en-US" w:eastAsia="zh-CN" w:bidi="ar-SA"/>
        </w:rPr>
        <w:t>3、</w:t>
      </w:r>
      <w:r>
        <w:rPr>
          <w:rFonts w:hint="eastAsia" w:ascii="楷体" w:hAnsi="楷体" w:eastAsia="楷体" w:cs="楷体"/>
          <w:color w:val="auto"/>
          <w:sz w:val="32"/>
          <w:szCs w:val="32"/>
          <w:highlight w:val="none"/>
          <w:lang w:val="en-US" w:eastAsia="zh-CN"/>
        </w:rPr>
        <w:t>术语定义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w:t>
      </w:r>
      <w:r>
        <w:rPr>
          <w:rFonts w:hint="default" w:ascii="楷体" w:hAnsi="楷体" w:eastAsia="楷体" w:cs="楷体"/>
          <w:color w:val="auto"/>
          <w:sz w:val="32"/>
          <w:szCs w:val="32"/>
          <w:highlight w:val="none"/>
          <w:lang w:val="en-US" w:eastAsia="zh-CN"/>
        </w:rPr>
        <w:t>网络零售药品配送</w:t>
      </w:r>
      <w:r>
        <w:rPr>
          <w:rFonts w:hint="eastAsia" w:ascii="楷体" w:hAnsi="楷体" w:eastAsia="楷体" w:cs="楷体"/>
          <w:color w:val="auto"/>
          <w:sz w:val="32"/>
          <w:szCs w:val="32"/>
          <w:highlight w:val="none"/>
          <w:lang w:val="en-US" w:eastAsia="zh-CN"/>
        </w:rPr>
        <w:t>服务，delivery service of online retail medicines，根据用户通过网络零售药品平台提出的</w:t>
      </w:r>
      <w:r>
        <w:rPr>
          <w:rFonts w:hint="default" w:ascii="楷体" w:hAnsi="楷体" w:eastAsia="楷体" w:cs="楷体"/>
          <w:color w:val="auto"/>
          <w:sz w:val="32"/>
          <w:szCs w:val="32"/>
          <w:highlight w:val="none"/>
          <w:lang w:val="en-US" w:eastAsia="zh-CN"/>
        </w:rPr>
        <w:t>购药需求，将药品送达</w:t>
      </w:r>
      <w:r>
        <w:rPr>
          <w:rFonts w:hint="eastAsia" w:ascii="楷体" w:hAnsi="楷体" w:eastAsia="楷体" w:cs="楷体"/>
          <w:color w:val="auto"/>
          <w:sz w:val="32"/>
          <w:szCs w:val="32"/>
          <w:highlight w:val="none"/>
          <w:lang w:val="en-US" w:eastAsia="zh-CN"/>
        </w:rPr>
        <w:t>用户</w:t>
      </w:r>
      <w:r>
        <w:rPr>
          <w:rFonts w:hint="default" w:ascii="楷体" w:hAnsi="楷体" w:eastAsia="楷体" w:cs="楷体"/>
          <w:color w:val="auto"/>
          <w:sz w:val="32"/>
          <w:szCs w:val="32"/>
          <w:highlight w:val="none"/>
          <w:lang w:val="en-US" w:eastAsia="zh-CN"/>
        </w:rPr>
        <w:t>指定地点</w:t>
      </w:r>
      <w:r>
        <w:rPr>
          <w:rFonts w:hint="eastAsia" w:ascii="楷体" w:hAnsi="楷体" w:eastAsia="楷体" w:cs="楷体"/>
          <w:color w:val="auto"/>
          <w:sz w:val="32"/>
          <w:szCs w:val="32"/>
          <w:highlight w:val="none"/>
          <w:lang w:val="en-US" w:eastAsia="zh-CN"/>
        </w:rPr>
        <w:t>、</w:t>
      </w:r>
      <w:r>
        <w:rPr>
          <w:rFonts w:hint="default" w:ascii="楷体" w:hAnsi="楷体" w:eastAsia="楷体" w:cs="楷体"/>
          <w:color w:val="auto"/>
          <w:sz w:val="32"/>
          <w:szCs w:val="32"/>
          <w:highlight w:val="none"/>
          <w:lang w:val="en-US" w:eastAsia="zh-CN"/>
        </w:rPr>
        <w:t>并</w:t>
      </w:r>
      <w:r>
        <w:rPr>
          <w:rFonts w:hint="eastAsia" w:ascii="楷体" w:hAnsi="楷体" w:eastAsia="楷体" w:cs="楷体"/>
          <w:color w:val="auto"/>
          <w:sz w:val="32"/>
          <w:szCs w:val="32"/>
          <w:highlight w:val="none"/>
          <w:lang w:val="en-US" w:eastAsia="zh-CN"/>
        </w:rPr>
        <w:t>协助用户</w:t>
      </w:r>
      <w:r>
        <w:rPr>
          <w:rFonts w:hint="default" w:ascii="楷体" w:hAnsi="楷体" w:eastAsia="楷体" w:cs="楷体"/>
          <w:color w:val="auto"/>
          <w:sz w:val="32"/>
          <w:szCs w:val="32"/>
          <w:highlight w:val="none"/>
          <w:lang w:val="en-US" w:eastAsia="zh-CN"/>
        </w:rPr>
        <w:t>签收的物流活动。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说明：为了方便企业更直观的了解本标准提及的网络零售药品配送的物流过程，特对络零售药品配送做出了定义。</w:t>
      </w: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rFonts w:hint="default" w:ascii="楷体" w:hAnsi="楷体" w:eastAsia="楷体" w:cs="楷体"/>
          <w:color w:val="auto"/>
          <w:sz w:val="32"/>
          <w:szCs w:val="32"/>
          <w:highlight w:val="none"/>
          <w:lang w:val="en-US" w:eastAsia="zh-CN"/>
        </w:rPr>
      </w:pPr>
      <w:r>
        <w:rPr>
          <w:rFonts w:hint="default" w:ascii="楷体" w:hAnsi="楷体" w:eastAsia="楷体" w:cs="楷体"/>
          <w:color w:val="auto"/>
          <w:sz w:val="32"/>
          <w:szCs w:val="32"/>
          <w:highlight w:val="none"/>
          <w:lang w:val="en-US" w:eastAsia="zh-CN"/>
        </w:rPr>
        <w:t>即时配送</w:t>
      </w:r>
      <w:r>
        <w:rPr>
          <w:rFonts w:hint="eastAsia" w:ascii="楷体" w:hAnsi="楷体" w:eastAsia="楷体" w:cs="楷体"/>
          <w:color w:val="auto"/>
          <w:sz w:val="32"/>
          <w:szCs w:val="32"/>
          <w:highlight w:val="none"/>
          <w:lang w:val="en-US" w:eastAsia="zh-CN"/>
        </w:rPr>
        <w:t>，</w:t>
      </w:r>
      <w:r>
        <w:rPr>
          <w:rFonts w:hint="default" w:ascii="楷体" w:hAnsi="楷体" w:eastAsia="楷体" w:cs="楷体"/>
          <w:color w:val="auto"/>
          <w:sz w:val="32"/>
          <w:szCs w:val="32"/>
          <w:highlight w:val="none"/>
          <w:lang w:val="en-US" w:eastAsia="zh-CN"/>
        </w:rPr>
        <w:t>on-demand delivery</w:t>
      </w:r>
      <w:r>
        <w:rPr>
          <w:rFonts w:hint="eastAsia" w:ascii="楷体" w:hAnsi="楷体" w:eastAsia="楷体" w:cs="楷体"/>
          <w:color w:val="auto"/>
          <w:sz w:val="32"/>
          <w:szCs w:val="32"/>
          <w:highlight w:val="none"/>
          <w:lang w:val="en-US" w:eastAsia="zh-CN"/>
        </w:rPr>
        <w:t>，</w:t>
      </w:r>
      <w:r>
        <w:rPr>
          <w:rFonts w:hint="default" w:ascii="楷体" w:hAnsi="楷体" w:eastAsia="楷体" w:cs="楷体"/>
          <w:color w:val="auto"/>
          <w:sz w:val="32"/>
          <w:szCs w:val="32"/>
          <w:highlight w:val="none"/>
          <w:lang w:val="en-US" w:eastAsia="zh-CN"/>
        </w:rPr>
        <w:t>立即响应用户提出的即刻服务要求并且在2h内送达的配送方式。</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说明：标准中提及了即时配送与非即时配送的相关要求，为了方面企业理解二者之间的区别，特对即时配送做出定义，该定义参考了GB/T 18354-2021《物流术语》中4.40有关即时配送的定义，并根据网络零售药品配送的要求进行修改。</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0"/>
        <w:textAlignment w:val="auto"/>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4、基本要求</w:t>
      </w:r>
    </w:p>
    <w:p>
      <w:pPr>
        <w:widowControl/>
        <w:tabs>
          <w:tab w:val="left" w:pos="540"/>
        </w:tabs>
        <w:spacing w:line="276" w:lineRule="auto"/>
        <w:ind w:firstLine="640" w:firstLineChars="20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highlight w:val="none"/>
          <w:lang w:val="en-US" w:eastAsia="zh-CN"/>
        </w:rPr>
        <w:t>本章节主要规定了</w:t>
      </w:r>
      <w:r>
        <w:rPr>
          <w:rFonts w:hint="eastAsia" w:ascii="楷体" w:hAnsi="楷体" w:eastAsia="楷体" w:cs="楷体"/>
          <w:color w:val="auto"/>
          <w:sz w:val="32"/>
          <w:szCs w:val="32"/>
          <w:highlight w:val="none"/>
          <w:lang w:val="en-US" w:eastAsia="zh-CN"/>
        </w:rPr>
        <w:t>网络零售药品配送中网络零售药品配送服务提供方的基本要求，明确了应具备组织机构、建立药品配送管理制度、具备信息系统、设施设备，以及委托配送的要求。</w:t>
      </w:r>
    </w:p>
    <w:p>
      <w:pPr>
        <w:widowControl/>
        <w:tabs>
          <w:tab w:val="left" w:pos="540"/>
        </w:tabs>
        <w:spacing w:line="276" w:lineRule="auto"/>
        <w:ind w:firstLine="640" w:firstLineChars="20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说明：以上几点要求是企业在开展网络零售药品配送业务的基本配置，是对药品配送的保障。</w:t>
      </w:r>
    </w:p>
    <w:p>
      <w:pPr>
        <w:widowControl/>
        <w:tabs>
          <w:tab w:val="left" w:pos="540"/>
        </w:tabs>
        <w:spacing w:line="276" w:lineRule="auto"/>
        <w:ind w:firstLine="640" w:firstLineChars="20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sz w:val="32"/>
          <w:szCs w:val="32"/>
          <w:highlight w:val="none"/>
          <w:lang w:val="en-US" w:eastAsia="zh-CN"/>
        </w:rPr>
        <w:t>5、人员与培训</w:t>
      </w:r>
    </w:p>
    <w:p>
      <w:pPr>
        <w:widowControl/>
        <w:tabs>
          <w:tab w:val="left" w:pos="540"/>
        </w:tabs>
        <w:spacing w:line="276" w:lineRule="auto"/>
        <w:ind w:firstLine="640" w:firstLineChars="20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标准的本部分内容主要规定了人员配备要求、健康检查、培训及着装要求。</w:t>
      </w:r>
    </w:p>
    <w:p>
      <w:pPr>
        <w:widowControl/>
        <w:tabs>
          <w:tab w:val="left" w:pos="540"/>
        </w:tabs>
        <w:spacing w:line="276" w:lineRule="auto"/>
        <w:ind w:firstLine="640" w:firstLineChars="20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说明：《药品经营质量管理规范 附录6药品零售配送质量管理》中提及了“药品零售企业应当配备专职或兼职人员负责药品配送质量管理”“对员工每年进行健康体检。”“第七条培训相关岗位人员”的要求，在法规的基础上，本标准明确了网络零售药品配送服务提供方相应的配备专职或兼职人员负责的要求；细化了健康的时间要求，并且对体检后发现有传染病等人员要求不能进行药品配送工作；也细化了培训方式、内容的要求；并为了让用户更容易辨认配送员的身份,增加交易的可信度规定配送人员穿着。</w:t>
      </w:r>
    </w:p>
    <w:p>
      <w:pPr>
        <w:widowControl/>
        <w:numPr>
          <w:ilvl w:val="0"/>
          <w:numId w:val="0"/>
        </w:numPr>
        <w:tabs>
          <w:tab w:val="left" w:pos="540"/>
        </w:tabs>
        <w:spacing w:line="276" w:lineRule="auto"/>
        <w:ind w:firstLine="640" w:firstLineChars="20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lang w:val="en-US" w:eastAsia="zh-CN" w:bidi="ar-SA"/>
        </w:rPr>
        <w:t>6、</w:t>
      </w:r>
      <w:r>
        <w:rPr>
          <w:rFonts w:hint="eastAsia" w:ascii="楷体" w:hAnsi="楷体" w:eastAsia="楷体" w:cs="楷体"/>
          <w:color w:val="auto"/>
          <w:sz w:val="32"/>
          <w:szCs w:val="32"/>
          <w:highlight w:val="none"/>
          <w:lang w:val="en-US" w:eastAsia="zh-CN"/>
        </w:rPr>
        <w:t>设施设备</w:t>
      </w:r>
    </w:p>
    <w:p>
      <w:pPr>
        <w:widowControl/>
        <w:numPr>
          <w:ilvl w:val="-1"/>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本标准的这部分主要规定了网络零售药品配送使用的车、箱、对其检查、清洁及维护、及冷链设施设备验证的要求。</w:t>
      </w:r>
    </w:p>
    <w:p>
      <w:pPr>
        <w:widowControl/>
        <w:numPr>
          <w:ilvl w:val="-1"/>
          <w:numId w:val="0"/>
        </w:numPr>
        <w:tabs>
          <w:tab w:val="left" w:pos="540"/>
        </w:tabs>
        <w:spacing w:line="276" w:lineRule="auto"/>
        <w:ind w:firstLine="640" w:firstLineChars="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说明：《药品经营质量管理规范 附录6药品零售配送质量管理》中对药品零售企业的车辆、箱子及维护要求进行了规定，网络零售药品配送服务提供方为了更好的进行配送，满足药品零售企业的要求，在车辆、箱子及维护要求等方面也提出了规定，并且针对冷链药品配送设施设备的要求引用了WB/T 1097《药品冷链保温箱通用规范》、WB/T 1104《道路运输 医药产品冷藏车功能配置要求》。验证要求引用了GB/T 34399《医药产品冷链物流温控设施设备验证 性能确认技术规范》。</w:t>
      </w:r>
    </w:p>
    <w:p>
      <w:pPr>
        <w:widowControl/>
        <w:tabs>
          <w:tab w:val="left" w:pos="540"/>
        </w:tabs>
        <w:spacing w:line="276" w:lineRule="auto"/>
        <w:ind w:firstLine="640" w:firstLineChars="20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7、服务流程</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标准本部分是网络零售药品配送过程中的主要环节，规定了网络零售药品配送服务提供方从接单、配送前准备、配送、再到交付的全过程要求，形成配送的闭环。</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76" w:lineRule="auto"/>
        <w:ind w:firstLine="640" w:firstLineChars="0"/>
        <w:contextualSpacing/>
        <w:jc w:val="both"/>
        <w:textAlignment w:val="auto"/>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经过标准前期的启动会、调研等活动的开展，起草单位及调研单位反馈，网络零售药品配送服务提供方的工作从接单开始，到达地点后，药品的包装、封签工作并不是由配送员进行，配送员会根据药品配送要求确定是否再次包装，故标准本章节没有包括包装、复核等工作，配送员明确配送要求后直接进行配送。同时标准在交付过程中，也根据目前配送情况明确了2种交付方式，一种是收货人签收、另一种是自提柜/驿站代存，并指明了2种交付方式应做的工作流程。</w:t>
      </w:r>
    </w:p>
    <w:p>
      <w:pPr>
        <w:keepNext w:val="0"/>
        <w:keepLines w:val="0"/>
        <w:pageBreakBefore w:val="0"/>
        <w:widowControl w:val="0"/>
        <w:numPr>
          <w:ilvl w:val="-1"/>
          <w:numId w:val="0"/>
        </w:numPr>
        <w:tabs>
          <w:tab w:val="left" w:pos="540"/>
        </w:tabs>
        <w:kinsoku/>
        <w:wordWrap/>
        <w:overflowPunct/>
        <w:topLinePunct w:val="0"/>
        <w:autoSpaceDE/>
        <w:autoSpaceDN/>
        <w:bidi w:val="0"/>
        <w:adjustRightInd/>
        <w:snapToGrid/>
        <w:spacing w:line="276" w:lineRule="auto"/>
        <w:ind w:firstLine="640" w:firstLineChars="200"/>
        <w:contextualSpacing/>
        <w:jc w:val="both"/>
        <w:textAlignment w:val="auto"/>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8、信息管理</w:t>
      </w:r>
    </w:p>
    <w:p>
      <w:pPr>
        <w:keepNext w:val="0"/>
        <w:keepLines w:val="0"/>
        <w:pageBreakBefore w:val="0"/>
        <w:widowControl w:val="0"/>
        <w:numPr>
          <w:ilvl w:val="-1"/>
          <w:numId w:val="0"/>
        </w:numPr>
        <w:tabs>
          <w:tab w:val="left" w:pos="540"/>
        </w:tabs>
        <w:kinsoku/>
        <w:wordWrap/>
        <w:overflowPunct/>
        <w:topLinePunct w:val="0"/>
        <w:autoSpaceDE/>
        <w:autoSpaceDN/>
        <w:bidi w:val="0"/>
        <w:adjustRightInd/>
        <w:snapToGrid/>
        <w:spacing w:line="276" w:lineRule="auto"/>
        <w:ind w:firstLine="640" w:firstLineChars="0"/>
        <w:contextualSpacing/>
        <w:jc w:val="both"/>
        <w:textAlignment w:val="auto"/>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标准本部分主要规定了信息系统功能、安全要求、接口要求，并建议企业配备温度检测系统。</w:t>
      </w:r>
    </w:p>
    <w:p>
      <w:pPr>
        <w:widowControl/>
        <w:numPr>
          <w:ilvl w:val="-1"/>
          <w:numId w:val="0"/>
        </w:numPr>
        <w:tabs>
          <w:tab w:val="left" w:pos="540"/>
        </w:tabs>
        <w:spacing w:line="276" w:lineRule="auto"/>
        <w:ind w:firstLine="640" w:firstLineChars="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说明：在起草过程企业</w:t>
      </w:r>
      <w:bookmarkStart w:id="0" w:name="_GoBack"/>
      <w:bookmarkEnd w:id="0"/>
      <w:r>
        <w:rPr>
          <w:rFonts w:hint="eastAsia" w:ascii="楷体" w:hAnsi="楷体" w:eastAsia="楷体" w:cs="楷体"/>
          <w:color w:val="auto"/>
          <w:kern w:val="2"/>
          <w:sz w:val="32"/>
          <w:szCs w:val="32"/>
          <w:highlight w:val="none"/>
          <w:lang w:val="en-US" w:eastAsia="zh-CN"/>
        </w:rPr>
        <w:t>多次讲述到信息安全的重要性，因此标准引用了</w:t>
      </w:r>
      <w:r>
        <w:rPr>
          <w:rFonts w:hint="eastAsia" w:ascii="楷体" w:hAnsi="楷体" w:eastAsia="楷体" w:cs="楷体"/>
          <w:color w:val="auto"/>
          <w:sz w:val="32"/>
          <w:szCs w:val="32"/>
          <w:highlight w:val="none"/>
          <w:lang w:val="en-US" w:eastAsia="zh-CN"/>
        </w:rPr>
        <w:t>GB/T 20269《信息安全技术 信息系统安全管理要求 》、GB/T 20270《信息安全技术 网络基础安全技术要求 》、GB/T 20271《信息安全技术 信息系统通用安全技术要求》。目前网络零售药品配送服务提供方并没有建立温度监测系统，配送冷链药品时所用系统为委托方系统，因此建议网络零售药品配送服务提供方配备温度监测系统。</w:t>
      </w:r>
    </w:p>
    <w:p>
      <w:pPr>
        <w:widowControl/>
        <w:numPr>
          <w:ilvl w:val="-1"/>
          <w:numId w:val="0"/>
        </w:numPr>
        <w:tabs>
          <w:tab w:val="left" w:pos="540"/>
        </w:tabs>
        <w:spacing w:line="276" w:lineRule="auto"/>
        <w:ind w:firstLine="640" w:firstLineChars="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sz w:val="32"/>
          <w:szCs w:val="32"/>
          <w:highlight w:val="none"/>
          <w:lang w:val="en-US" w:eastAsia="zh-CN"/>
        </w:rPr>
        <w:t>9、档案管理</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标准本部分主要规定了档案建立、保存等要求。</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本标准规定的药品配送活动主要是通过互联网进行，所以配送环节的操作都是在网上，相关信息也都是电子形式，因此规定网络零售药品配送服务提供方要进行电子档案的管理，相关重要信息要进行保密处理。并参考</w:t>
      </w:r>
      <w:r>
        <w:rPr>
          <w:rFonts w:hint="eastAsia" w:ascii="楷体" w:hAnsi="楷体" w:eastAsia="楷体" w:cs="楷体"/>
          <w:color w:val="auto"/>
          <w:sz w:val="32"/>
          <w:szCs w:val="32"/>
          <w:highlight w:val="none"/>
          <w:lang w:val="en-US" w:eastAsia="zh-CN"/>
        </w:rPr>
        <w:t>《药品经营质量管理规范》对文档保存5年要求，本标准也要求保存时限为至少5年。</w:t>
      </w:r>
    </w:p>
    <w:p>
      <w:pPr>
        <w:widowControl/>
        <w:numPr>
          <w:ilvl w:val="0"/>
          <w:numId w:val="0"/>
        </w:numPr>
        <w:tabs>
          <w:tab w:val="left" w:pos="540"/>
        </w:tabs>
        <w:spacing w:line="276" w:lineRule="auto"/>
        <w:ind w:firstLine="640" w:firstLineChars="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sz w:val="32"/>
          <w:szCs w:val="32"/>
          <w:highlight w:val="none"/>
          <w:lang w:val="en-US" w:eastAsia="zh-CN"/>
        </w:rPr>
        <w:t>10、应急处置</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76" w:lineRule="auto"/>
        <w:ind w:firstLine="641" w:firstLineChars="0"/>
        <w:contextualSpacing/>
        <w:jc w:val="both"/>
        <w:textAlignment w:val="auto"/>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标准本部分主要规定了建立应急处置预案、应急预案演练，在发生突发公共卫生事件时，应配合政府相关部门及药品发货方进行药品的配送等工作。</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276" w:lineRule="auto"/>
        <w:ind w:firstLine="641" w:firstLineChars="0"/>
        <w:contextualSpacing/>
        <w:jc w:val="both"/>
        <w:textAlignment w:val="auto"/>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网络零售药品在配送过程中有可能会出现配送错误、丢失、损坏等情况，因此要求网络零售药品配送服务提供方具备应急预案，一次应对突发情况。并且在突发公共卫生事件时，配合政府工作进行药品配送。</w:t>
      </w:r>
    </w:p>
    <w:p>
      <w:pPr>
        <w:widowControl/>
        <w:numPr>
          <w:ilvl w:val="0"/>
          <w:numId w:val="0"/>
        </w:numPr>
        <w:tabs>
          <w:tab w:val="left" w:pos="540"/>
        </w:tabs>
        <w:spacing w:line="276" w:lineRule="auto"/>
        <w:ind w:firstLine="640" w:firstLineChars="0"/>
        <w:contextualSpacing/>
        <w:jc w:val="both"/>
        <w:rPr>
          <w:rFonts w:hint="default"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11、服务评级与改进</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标准的本部分规定了网络零售药品配送服务的服务评价与持续改进要求，包括制定评价体系、开展自评价、回访委托方、对不满的事项进行分析、反馈和改进。</w:t>
      </w:r>
    </w:p>
    <w:p>
      <w:pPr>
        <w:widowControl/>
        <w:numPr>
          <w:ilvl w:val="0"/>
          <w:numId w:val="0"/>
        </w:numPr>
        <w:tabs>
          <w:tab w:val="left" w:pos="540"/>
        </w:tabs>
        <w:spacing w:line="276" w:lineRule="auto"/>
        <w:ind w:firstLine="640" w:firstLineChars="0"/>
        <w:contextualSpacing/>
        <w:jc w:val="both"/>
        <w:rPr>
          <w:rFonts w:hint="eastAsia" w:ascii="楷体" w:hAnsi="楷体" w:eastAsia="楷体" w:cs="楷体"/>
          <w:color w:val="auto"/>
          <w:kern w:val="2"/>
          <w:sz w:val="32"/>
          <w:szCs w:val="32"/>
          <w:highlight w:val="none"/>
          <w:lang w:val="en-US" w:eastAsia="zh-CN"/>
        </w:rPr>
      </w:pPr>
      <w:r>
        <w:rPr>
          <w:rFonts w:hint="eastAsia" w:ascii="楷体" w:hAnsi="楷体" w:eastAsia="楷体" w:cs="楷体"/>
          <w:color w:val="auto"/>
          <w:kern w:val="2"/>
          <w:sz w:val="32"/>
          <w:szCs w:val="32"/>
          <w:highlight w:val="none"/>
          <w:lang w:val="en-US" w:eastAsia="zh-CN"/>
        </w:rPr>
        <w:t>说明：在调研过程中，网络零售企业及药店反馈，他们会从服务满意度、配送时效的评价对服务提供方进行评级，并且标准还</w:t>
      </w:r>
      <w:r>
        <w:rPr>
          <w:rFonts w:hint="eastAsia" w:ascii="楷体" w:hAnsi="楷体" w:eastAsia="楷体" w:cs="楷体"/>
          <w:color w:val="auto"/>
          <w:sz w:val="32"/>
          <w:szCs w:val="32"/>
          <w:highlight w:val="none"/>
          <w:lang w:val="en-US" w:eastAsia="zh-CN"/>
        </w:rPr>
        <w:t>参考了《药品物流服务规范》国家标准中“评价方式要求”及“改进要求”等内容，对此部分进行描写。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三、标准验证情况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在标准制定期间，通过线上收集资料、研讨会、线下走访企业等方式，对标准内容在起草单位内部的12家企业，包括有网络零售业务的药店、网络零售药品配送服务企业、车子和箱子的生产厂家、第三方验证服务企业进行了调研验证。针对标准人员与培训、设施设备、服务流程、信息系统、档案管理、应急处置及服务评价等要求均进行了询问，根据结果反馈，标准内容符合企业在网络零售药品配送服务的实际业务操作，验证情况见表4。</w:t>
      </w:r>
    </w:p>
    <w:p>
      <w:pPr>
        <w:widowControl/>
        <w:tabs>
          <w:tab w:val="left" w:pos="540"/>
        </w:tabs>
        <w:spacing w:line="276" w:lineRule="auto"/>
        <w:ind w:firstLine="359" w:firstLineChars="171"/>
        <w:contextualSpacing/>
        <w:jc w:val="center"/>
        <w:rPr>
          <w:rFonts w:hint="default" w:ascii="黑体" w:hAnsi="黑体" w:eastAsia="黑体" w:cs="黑体"/>
          <w:color w:val="auto"/>
          <w:kern w:val="0"/>
          <w:szCs w:val="21"/>
          <w:highlight w:val="none"/>
          <w:lang w:val="en-US" w:eastAsia="zh-CN"/>
        </w:rPr>
      </w:pPr>
      <w:r>
        <w:rPr>
          <w:rFonts w:hint="eastAsia" w:ascii="黑体" w:hAnsi="黑体" w:eastAsia="黑体" w:cs="黑体"/>
          <w:color w:val="auto"/>
          <w:kern w:val="0"/>
          <w:szCs w:val="21"/>
          <w:highlight w:val="none"/>
          <w:lang w:val="en-US" w:eastAsia="zh-CN"/>
        </w:rPr>
        <w:t>表4 标准验证情况</w:t>
      </w:r>
    </w:p>
    <w:tbl>
      <w:tblPr>
        <w:tblStyle w:val="10"/>
        <w:tblW w:w="10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397"/>
        <w:gridCol w:w="680"/>
        <w:gridCol w:w="3515"/>
        <w:gridCol w:w="973"/>
        <w:gridCol w:w="4139"/>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397" w:type="dxa"/>
            <w:shd w:val="clear" w:color="000000"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rPr>
              <w:t>序号</w:t>
            </w:r>
          </w:p>
        </w:tc>
        <w:tc>
          <w:tcPr>
            <w:tcW w:w="680" w:type="dxa"/>
            <w:shd w:val="clear" w:color="000000" w:fill="auto"/>
            <w:vAlign w:val="center"/>
          </w:tcPr>
          <w:p>
            <w:pPr>
              <w:jc w:val="center"/>
              <w:rPr>
                <w:rFonts w:hint="default"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企业类型</w:t>
            </w:r>
          </w:p>
        </w:tc>
        <w:tc>
          <w:tcPr>
            <w:tcW w:w="3515"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调研</w:t>
            </w:r>
            <w:r>
              <w:rPr>
                <w:rFonts w:hint="eastAsia" w:ascii="楷体" w:hAnsi="楷体" w:eastAsia="楷体" w:cs="楷体"/>
                <w:color w:val="auto"/>
                <w:sz w:val="18"/>
                <w:szCs w:val="18"/>
                <w:highlight w:val="none"/>
              </w:rPr>
              <w:t>单位</w:t>
            </w:r>
          </w:p>
        </w:tc>
        <w:tc>
          <w:tcPr>
            <w:tcW w:w="973" w:type="dxa"/>
            <w:shd w:val="clear" w:color="000000" w:fill="auto"/>
            <w:vAlign w:val="center"/>
          </w:tcPr>
          <w:p>
            <w:pPr>
              <w:jc w:val="center"/>
              <w:rPr>
                <w:rFonts w:hint="eastAsia" w:ascii="楷体" w:hAnsi="楷体" w:eastAsia="楷体" w:cs="楷体"/>
                <w:color w:val="auto"/>
                <w:sz w:val="18"/>
                <w:szCs w:val="18"/>
                <w:highlight w:val="none"/>
                <w:lang w:val="en-US"/>
              </w:rPr>
            </w:pPr>
            <w:r>
              <w:rPr>
                <w:rFonts w:hint="eastAsia" w:ascii="楷体" w:hAnsi="楷体" w:eastAsia="楷体" w:cs="楷体"/>
                <w:color w:val="auto"/>
                <w:sz w:val="18"/>
                <w:szCs w:val="18"/>
                <w:highlight w:val="none"/>
                <w:lang w:val="en-US" w:eastAsia="zh-CN"/>
              </w:rPr>
              <w:t>调研方式</w:t>
            </w:r>
          </w:p>
        </w:tc>
        <w:tc>
          <w:tcPr>
            <w:tcW w:w="4139"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验证内容</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配送</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拉扎斯网络科技（上海）有限公司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配送</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深圳顺丰泰森控股（集团）有限公司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vMerge w:val="restart"/>
            <w:shd w:val="clear" w:color="000000" w:fill="auto"/>
            <w:vAlign w:val="center"/>
          </w:tcPr>
          <w:p>
            <w:pPr>
              <w:widowControl/>
              <w:jc w:val="center"/>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有网络零售业务的药店</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老百姓大药房连锁股份有限公司</w:t>
            </w:r>
          </w:p>
        </w:tc>
        <w:tc>
          <w:tcPr>
            <w:tcW w:w="973" w:type="dxa"/>
            <w:shd w:val="clear" w:color="000000" w:fill="auto"/>
            <w:vAlign w:val="center"/>
          </w:tcPr>
          <w:p>
            <w:pPr>
              <w:jc w:val="center"/>
              <w:rPr>
                <w:rFonts w:hint="eastAsia" w:ascii="楷体" w:hAnsi="楷体" w:eastAsia="楷体" w:cs="楷体"/>
                <w:color w:val="auto"/>
                <w:kern w:val="2"/>
                <w:sz w:val="18"/>
                <w:szCs w:val="18"/>
                <w:highlight w:val="none"/>
                <w:lang w:val="en-US" w:eastAsia="zh-CN" w:bidi="ar-SA"/>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vMerge w:val="continue"/>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漱玉平民大药房连锁股份有限公司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资料调研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vMerge w:val="continue"/>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河南张仲景大药房股份有限公司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资料调研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vMerge w:val="continue"/>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好药师大药房连锁有限公司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配送</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鹭燕医药股份有限公司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资料调研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配送</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上海腾翼搏时供应链有限公司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人员与培训、设施设备、服务流程、信息系统、档案管理、应急处置及服务评价</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箱子</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青岛海尔生物医疗股份有限公司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资料调研</w:t>
            </w:r>
          </w:p>
        </w:tc>
        <w:tc>
          <w:tcPr>
            <w:tcW w:w="4139" w:type="dxa"/>
            <w:shd w:val="clear" w:color="000000" w:fill="auto"/>
            <w:vAlign w:val="center"/>
          </w:tcPr>
          <w:p>
            <w:pPr>
              <w:widowControl/>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应使用吸水性低、透气性小、导热系数小、保温性能好的药品配送箱进行配送，且冷链药品配送箱应符合WB/T 1097的要求。</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车</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德力新能源汽车有限公司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资料调研</w:t>
            </w:r>
          </w:p>
        </w:tc>
        <w:tc>
          <w:tcPr>
            <w:tcW w:w="4139" w:type="dxa"/>
            <w:shd w:val="clear" w:color="000000" w:fill="auto"/>
            <w:vAlign w:val="center"/>
          </w:tcPr>
          <w:p>
            <w:pPr>
              <w:widowControl/>
              <w:textAlignment w:val="center"/>
              <w:rPr>
                <w:rFonts w:hint="eastAsia"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应使用封闭式药品配送车辆进行配送，且冷链药品配送车辆应符合WB/T 1104的要求、应在药品配送车辆或配送箱内设置与药品储存温度相适应的独立区域。</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397" w:type="dxa"/>
            <w:shd w:val="clear" w:color="000000"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ind w:left="425" w:hanging="425" w:firstLineChars="0"/>
              <w:jc w:val="left"/>
              <w:textAlignment w:val="auto"/>
              <w:rPr>
                <w:rFonts w:hint="eastAsia" w:ascii="楷体" w:hAnsi="楷体" w:eastAsia="楷体" w:cs="楷体"/>
                <w:color w:val="auto"/>
                <w:sz w:val="18"/>
                <w:szCs w:val="18"/>
                <w:highlight w:val="none"/>
              </w:rPr>
            </w:pPr>
          </w:p>
        </w:tc>
        <w:tc>
          <w:tcPr>
            <w:tcW w:w="680" w:type="dxa"/>
            <w:shd w:val="clear" w:color="000000" w:fill="auto"/>
            <w:vAlign w:val="center"/>
          </w:tcPr>
          <w:p>
            <w:pPr>
              <w:widowControl/>
              <w:jc w:val="center"/>
              <w:textAlignment w:val="center"/>
              <w:rPr>
                <w:rFonts w:hint="default" w:ascii="楷体" w:hAnsi="楷体" w:eastAsia="楷体" w:cs="楷体"/>
                <w:color w:val="auto"/>
                <w:kern w:val="0"/>
                <w:szCs w:val="21"/>
                <w:highlight w:val="none"/>
                <w:lang w:val="en-US" w:eastAsia="zh-CN"/>
              </w:rPr>
            </w:pPr>
            <w:r>
              <w:rPr>
                <w:rFonts w:hint="eastAsia" w:ascii="楷体" w:hAnsi="楷体" w:eastAsia="楷体" w:cs="楷体"/>
                <w:color w:val="auto"/>
                <w:kern w:val="0"/>
                <w:szCs w:val="21"/>
                <w:highlight w:val="none"/>
                <w:lang w:val="en-US" w:eastAsia="zh-CN"/>
              </w:rPr>
              <w:t>验证</w:t>
            </w:r>
          </w:p>
        </w:tc>
        <w:tc>
          <w:tcPr>
            <w:tcW w:w="3515" w:type="dxa"/>
            <w:shd w:val="clear" w:color="000000" w:fill="auto"/>
            <w:vAlign w:val="center"/>
          </w:tcPr>
          <w:p>
            <w:pPr>
              <w:widowControl/>
              <w:jc w:val="both"/>
              <w:textAlignment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kern w:val="0"/>
                <w:szCs w:val="21"/>
                <w:highlight w:val="none"/>
                <w:lang w:val="en-US" w:eastAsia="zh-CN"/>
              </w:rPr>
              <w:t>四川万物纪年信息科技有限公司</w:t>
            </w:r>
          </w:p>
        </w:tc>
        <w:tc>
          <w:tcPr>
            <w:tcW w:w="973" w:type="dxa"/>
            <w:shd w:val="clear" w:color="000000" w:fill="auto"/>
            <w:vAlign w:val="center"/>
          </w:tcPr>
          <w:p>
            <w:pPr>
              <w:jc w:val="center"/>
              <w:rPr>
                <w:rFonts w:hint="eastAsia" w:ascii="楷体" w:hAnsi="楷体" w:eastAsia="楷体" w:cs="楷体"/>
                <w:color w:val="auto"/>
                <w:sz w:val="18"/>
                <w:szCs w:val="18"/>
                <w:highlight w:val="none"/>
              </w:rPr>
            </w:pPr>
            <w:r>
              <w:rPr>
                <w:rFonts w:hint="eastAsia" w:ascii="楷体" w:hAnsi="楷体" w:eastAsia="楷体" w:cs="楷体"/>
                <w:color w:val="auto"/>
                <w:sz w:val="18"/>
                <w:szCs w:val="18"/>
                <w:highlight w:val="none"/>
                <w:lang w:val="en-US" w:eastAsia="zh-CN"/>
              </w:rPr>
              <w:t>实地调研</w:t>
            </w:r>
          </w:p>
        </w:tc>
        <w:tc>
          <w:tcPr>
            <w:tcW w:w="4139" w:type="dxa"/>
            <w:shd w:val="clear" w:color="000000" w:fill="auto"/>
            <w:vAlign w:val="center"/>
          </w:tcPr>
          <w:p>
            <w:pPr>
              <w:widowControl/>
              <w:textAlignment w:val="center"/>
              <w:rPr>
                <w:rFonts w:hint="default" w:ascii="楷体" w:hAnsi="楷体" w:eastAsia="楷体" w:cs="楷体"/>
                <w:color w:val="auto"/>
                <w:kern w:val="0"/>
                <w:szCs w:val="21"/>
                <w:highlight w:val="none"/>
                <w:lang w:val="en-US" w:eastAsia="zh-CN"/>
              </w:rPr>
            </w:pPr>
            <w:r>
              <w:rPr>
                <w:rFonts w:hint="default" w:ascii="楷体" w:hAnsi="楷体" w:eastAsia="楷体" w:cs="楷体"/>
                <w:color w:val="auto"/>
                <w:kern w:val="0"/>
                <w:szCs w:val="21"/>
                <w:highlight w:val="none"/>
                <w:lang w:val="en-US" w:eastAsia="zh-CN"/>
              </w:rPr>
              <w:t>冷链药品配送车辆或配送箱其性能确认应符合GB/T 34399要求,并在验证结果支持的范围内进行使用。</w:t>
            </w:r>
          </w:p>
        </w:tc>
        <w:tc>
          <w:tcPr>
            <w:tcW w:w="595" w:type="dxa"/>
            <w:shd w:val="clear" w:color="000000" w:fill="auto"/>
            <w:vAlign w:val="center"/>
          </w:tcPr>
          <w:p>
            <w:pPr>
              <w:jc w:val="center"/>
              <w:rPr>
                <w:rFonts w:hint="eastAsia" w:ascii="楷体" w:hAnsi="楷体" w:eastAsia="楷体" w:cs="楷体"/>
                <w:color w:val="auto"/>
                <w:sz w:val="18"/>
                <w:szCs w:val="18"/>
                <w:highlight w:val="none"/>
                <w:lang w:val="en-US" w:eastAsia="zh-CN"/>
              </w:rPr>
            </w:pPr>
            <w:r>
              <w:rPr>
                <w:rFonts w:hint="eastAsia" w:ascii="楷体" w:hAnsi="楷体" w:eastAsia="楷体" w:cs="楷体"/>
                <w:color w:val="auto"/>
                <w:sz w:val="18"/>
                <w:szCs w:val="18"/>
                <w:highlight w:val="none"/>
                <w:lang w:val="en-US" w:eastAsia="zh-CN"/>
              </w:rPr>
              <w:t>符合</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四、采用国际标准和国外先进标准的程度，以及与国际、国外同类标准水平的对比情况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无</w:t>
      </w:r>
    </w:p>
    <w:p>
      <w:pPr>
        <w:keepNext w:val="0"/>
        <w:keepLines w:val="0"/>
        <w:pageBreakBefore w:val="0"/>
        <w:widowControl w:val="0"/>
        <w:numPr>
          <w:ilvl w:val="0"/>
          <w:numId w:val="7"/>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与有关的现行法律、法规和标准的关系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该标准根据《中华人民共和国药品管理法》《药品经营质量管理规范》及附录6进行编写内容，详细描写了网络零售配送过程中的要求，与现有标准和制定中的标准没有矛盾，与其他行业或领域没有冲突。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六、重大分歧意见的处理经过和依据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七、实施建议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1、中物联医药物流分会将通过举办培训班、发放宣传资料以及网络、微信、公众号等方式强化宣传，大力普及标准，营造贯彻标准的良好氛围，提高标准的社会关注度与知晓度，促进各相关企业准确理解、掌握和执行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2、中物联医药物流分会推动相关政府主管部门积极引用标准，协调建议将该标准引入法规，更好的规范企业运营，努力构建一个层级分明、标准统一、协调有序的疫苗冷链仓储、运输安全监管体系，畅通标准实施信息反馈渠道，促进标准的实施，确保标准能够有效落地。</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废止现行有关标准的建议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楷体" w:hAnsi="楷体" w:eastAsia="楷体" w:cs="楷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w:t>
      </w:r>
      <w:r>
        <w:rPr>
          <w:rFonts w:hint="eastAsia" w:ascii="楷体" w:hAnsi="楷体" w:eastAsia="楷体" w:cs="楷体"/>
          <w:color w:val="auto"/>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九、其他应当说明的事项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无</w:t>
      </w:r>
    </w:p>
    <w:p>
      <w:pPr>
        <w:rPr>
          <w:rFonts w:hint="eastAsia" w:eastAsiaTheme="minorEastAsia"/>
          <w:color w:val="auto"/>
          <w:highlight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D67F5"/>
    <w:multiLevelType w:val="singleLevel"/>
    <w:tmpl w:val="BF5D67F5"/>
    <w:lvl w:ilvl="0" w:tentative="0">
      <w:start w:val="1"/>
      <w:numFmt w:val="decimal"/>
      <w:lvlText w:val="%1."/>
      <w:lvlJc w:val="left"/>
      <w:pPr>
        <w:ind w:left="635" w:hanging="425"/>
      </w:pPr>
      <w:rPr>
        <w:rFonts w:hint="default"/>
      </w:rPr>
    </w:lvl>
  </w:abstractNum>
  <w:abstractNum w:abstractNumId="1">
    <w:nsid w:val="F81068CF"/>
    <w:multiLevelType w:val="singleLevel"/>
    <w:tmpl w:val="F81068CF"/>
    <w:lvl w:ilvl="0" w:tentative="0">
      <w:start w:val="2"/>
      <w:numFmt w:val="decimal"/>
      <w:suff w:val="nothing"/>
      <w:lvlText w:val="（%1）"/>
      <w:lvlJc w:val="left"/>
    </w:lvl>
  </w:abstractNum>
  <w:abstractNum w:abstractNumId="2">
    <w:nsid w:val="FE19B98E"/>
    <w:multiLevelType w:val="singleLevel"/>
    <w:tmpl w:val="FE19B98E"/>
    <w:lvl w:ilvl="0" w:tentative="0">
      <w:start w:val="5"/>
      <w:numFmt w:val="chineseCounting"/>
      <w:suff w:val="nothing"/>
      <w:lvlText w:val="%1、"/>
      <w:lvlJc w:val="left"/>
      <w:rPr>
        <w:rFonts w:hint="eastAsia"/>
      </w:rPr>
    </w:lvl>
  </w:abstractNum>
  <w:abstractNum w:abstractNumId="3">
    <w:nsid w:val="090A30B6"/>
    <w:multiLevelType w:val="singleLevel"/>
    <w:tmpl w:val="090A30B6"/>
    <w:lvl w:ilvl="0" w:tentative="0">
      <w:start w:val="1"/>
      <w:numFmt w:val="decimal"/>
      <w:lvlText w:val="%1."/>
      <w:lvlJc w:val="left"/>
      <w:pPr>
        <w:ind w:left="425" w:hanging="425"/>
      </w:pPr>
      <w:rPr>
        <w:rFonts w:hint="default"/>
      </w:rPr>
    </w:lvl>
  </w:abstractNum>
  <w:abstractNum w:abstractNumId="4">
    <w:nsid w:val="4B4988C1"/>
    <w:multiLevelType w:val="singleLevel"/>
    <w:tmpl w:val="4B4988C1"/>
    <w:lvl w:ilvl="0" w:tentative="0">
      <w:start w:val="2"/>
      <w:numFmt w:val="chineseCounting"/>
      <w:suff w:val="nothing"/>
      <w:lvlText w:val="（%1）"/>
      <w:lvlJc w:val="left"/>
      <w:rPr>
        <w:rFonts w:hint="eastAsia"/>
      </w:rPr>
    </w:lvl>
  </w:abstractNum>
  <w:abstractNum w:abstractNumId="5">
    <w:nsid w:val="63CDB8D9"/>
    <w:multiLevelType w:val="singleLevel"/>
    <w:tmpl w:val="63CDB8D9"/>
    <w:lvl w:ilvl="0" w:tentative="0">
      <w:start w:val="8"/>
      <w:numFmt w:val="chineseCounting"/>
      <w:suff w:val="nothing"/>
      <w:lvlText w:val="%1、"/>
      <w:lvlJc w:val="left"/>
      <w:rPr>
        <w:rFonts w:hint="eastAsia"/>
      </w:rPr>
    </w:lvl>
  </w:abstractNum>
  <w:abstractNum w:abstractNumId="6">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20"/>
      <w:suff w:val="nothing"/>
      <w:lvlText w:val="%1%2　"/>
      <w:lvlJc w:val="left"/>
      <w:pPr>
        <w:ind w:left="0" w:firstLine="0"/>
      </w:pPr>
      <w:rPr>
        <w:rFonts w:hint="eastAsia" w:ascii="黑体" w:eastAsia="黑体"/>
        <w:b w:val="0"/>
        <w:i w:val="0"/>
        <w:sz w:val="21"/>
      </w:rPr>
    </w:lvl>
    <w:lvl w:ilvl="2" w:tentative="0">
      <w:start w:val="1"/>
      <w:numFmt w:val="decimal"/>
      <w:pStyle w:val="1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21"/>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7E173B0D"/>
    <w:multiLevelType w:val="singleLevel"/>
    <w:tmpl w:val="7E173B0D"/>
    <w:lvl w:ilvl="0" w:tentative="0">
      <w:start w:val="1"/>
      <w:numFmt w:val="decimal"/>
      <w:lvlText w:val="%1."/>
      <w:lvlJc w:val="left"/>
      <w:pPr>
        <w:ind w:left="635" w:hanging="425"/>
      </w:pPr>
      <w:rPr>
        <w:rFonts w:hint="default"/>
      </w:r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MzdkMTAwM2Q2ODhiN2FiZmQ4N2RjNWJiNzUwMGMifQ=="/>
  </w:docVars>
  <w:rsids>
    <w:rsidRoot w:val="3B6644BA"/>
    <w:rsid w:val="04E36DEE"/>
    <w:rsid w:val="05540D6B"/>
    <w:rsid w:val="08935065"/>
    <w:rsid w:val="0A6F1AB5"/>
    <w:rsid w:val="0E87566C"/>
    <w:rsid w:val="17E94E61"/>
    <w:rsid w:val="18B3705E"/>
    <w:rsid w:val="1B212DA1"/>
    <w:rsid w:val="21FA2EB3"/>
    <w:rsid w:val="23B75AD9"/>
    <w:rsid w:val="245B6F27"/>
    <w:rsid w:val="2C016606"/>
    <w:rsid w:val="2E5F6AE7"/>
    <w:rsid w:val="389136A8"/>
    <w:rsid w:val="390D2E84"/>
    <w:rsid w:val="3933182B"/>
    <w:rsid w:val="3B6644BA"/>
    <w:rsid w:val="3BFF2436"/>
    <w:rsid w:val="430D48A1"/>
    <w:rsid w:val="44AF4552"/>
    <w:rsid w:val="44FC39B7"/>
    <w:rsid w:val="46091532"/>
    <w:rsid w:val="4C7C718B"/>
    <w:rsid w:val="4D437238"/>
    <w:rsid w:val="4FBD3D43"/>
    <w:rsid w:val="4FC43B0E"/>
    <w:rsid w:val="5EE237C6"/>
    <w:rsid w:val="613C6A70"/>
    <w:rsid w:val="68C03A4B"/>
    <w:rsid w:val="6BB169FA"/>
    <w:rsid w:val="6D116F35"/>
    <w:rsid w:val="6F5778B8"/>
    <w:rsid w:val="6F8729BE"/>
    <w:rsid w:val="711D7930"/>
    <w:rsid w:val="7212760C"/>
    <w:rsid w:val="7A122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semiHidden/>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next w:val="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0"/>
    <w:rPr>
      <w:i/>
    </w:rPr>
  </w:style>
  <w:style w:type="character" w:styleId="14">
    <w:name w:val="Hyperlink"/>
    <w:basedOn w:val="12"/>
    <w:qFormat/>
    <w:uiPriority w:val="0"/>
    <w:rPr>
      <w:color w:val="0000FF"/>
      <w:u w:val="single"/>
    </w:rPr>
  </w:style>
  <w:style w:type="character" w:styleId="15">
    <w:name w:val="footnote reference"/>
    <w:semiHidden/>
    <w:qFormat/>
    <w:uiPriority w:val="0"/>
    <w:rPr>
      <w:rFonts w:ascii="宋体" w:hAnsi="宋体" w:eastAsia="宋体" w:cs="Times New Roman"/>
      <w:spacing w:val="0"/>
      <w:sz w:val="18"/>
      <w:vertAlign w:val="superscript"/>
    </w:rPr>
  </w:style>
  <w:style w:type="paragraph" w:customStyle="1" w:styleId="1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标准文件_术语条一"/>
    <w:basedOn w:val="18"/>
    <w:next w:val="16"/>
    <w:qFormat/>
    <w:uiPriority w:val="0"/>
  </w:style>
  <w:style w:type="paragraph" w:customStyle="1" w:styleId="18">
    <w:name w:val="标准文件_一级无标题"/>
    <w:basedOn w:val="19"/>
    <w:qFormat/>
    <w:uiPriority w:val="0"/>
    <w:pPr>
      <w:spacing w:before="0" w:beforeLines="0" w:after="0" w:afterLines="0"/>
      <w:outlineLvl w:val="9"/>
    </w:pPr>
    <w:rPr>
      <w:rFonts w:ascii="宋体" w:eastAsia="宋体"/>
    </w:rPr>
  </w:style>
  <w:style w:type="paragraph" w:customStyle="1" w:styleId="19">
    <w:name w:val="标准文件_一级条标题"/>
    <w:basedOn w:val="20"/>
    <w:next w:val="16"/>
    <w:qFormat/>
    <w:uiPriority w:val="0"/>
    <w:pPr>
      <w:numPr>
        <w:ilvl w:val="2"/>
      </w:numPr>
      <w:spacing w:before="50" w:beforeLines="50" w:after="50" w:afterLines="50"/>
      <w:outlineLvl w:val="1"/>
    </w:pPr>
  </w:style>
  <w:style w:type="paragraph" w:customStyle="1" w:styleId="20">
    <w:name w:val="标准文件_章标题"/>
    <w:next w:val="16"/>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1">
    <w:name w:val="标准文件_二级条标题"/>
    <w:next w:val="16"/>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5795</Words>
  <Characters>6047</Characters>
  <Lines>0</Lines>
  <Paragraphs>0</Paragraphs>
  <TotalTime>1</TotalTime>
  <ScaleCrop>false</ScaleCrop>
  <LinksUpToDate>false</LinksUpToDate>
  <CharactersWithSpaces>6094</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2023-04-13T02:30:00Z</dcterms:created>
  <dc:creator>金蕾</dc:creator>
  <cp:lastModifiedBy>  时光微好</cp:lastModifiedBy>
  <dcterms:modified xsi:type="dcterms:W3CDTF">2023-11-14T09:19:26Z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59C0473550C746229ED64F18990E2AC1_13</vt:lpwstr>
  </property>
</Properties>
</file>