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b/>
          <w:bCs/>
          <w:color w:val="auto"/>
          <w:highlight w:val="none"/>
          <w:shd w:val="clear" w:color="auto" w:fill="FFFFFF"/>
        </w:rPr>
      </w:pPr>
    </w:p>
    <w:p>
      <w:pPr>
        <w:widowControl/>
        <w:spacing w:line="360" w:lineRule="auto"/>
        <w:rPr>
          <w:b/>
          <w:bCs/>
          <w:color w:val="auto"/>
          <w:highlight w:val="none"/>
          <w:shd w:val="clear" w:color="auto" w:fill="FFFFFF"/>
        </w:rPr>
      </w:pPr>
    </w:p>
    <w:p>
      <w:pPr>
        <w:widowControl/>
        <w:spacing w:line="300" w:lineRule="auto"/>
        <w:jc w:val="center"/>
        <w:rPr>
          <w:rFonts w:hint="eastAsia"/>
          <w:b/>
          <w:bCs/>
          <w:color w:val="auto"/>
          <w:sz w:val="44"/>
          <w:szCs w:val="44"/>
          <w:highlight w:val="none"/>
          <w:shd w:val="clear" w:color="auto" w:fill="FFFFFF"/>
        </w:rPr>
      </w:pPr>
    </w:p>
    <w:p>
      <w:pPr>
        <w:widowControl/>
        <w:spacing w:line="300" w:lineRule="auto"/>
        <w:jc w:val="center"/>
        <w:rPr>
          <w:b/>
          <w:bCs/>
          <w:color w:val="auto"/>
          <w:sz w:val="44"/>
          <w:szCs w:val="44"/>
          <w:highlight w:val="none"/>
          <w:shd w:val="clear" w:color="auto" w:fill="FFFFFF"/>
        </w:rPr>
      </w:pPr>
      <w:r>
        <w:rPr>
          <w:rFonts w:hint="eastAsia"/>
          <w:b/>
          <w:bCs/>
          <w:color w:val="auto"/>
          <w:sz w:val="44"/>
          <w:szCs w:val="44"/>
          <w:highlight w:val="none"/>
          <w:shd w:val="clear" w:color="auto" w:fill="FFFFFF"/>
          <w:lang w:eastAsia="zh-CN"/>
        </w:rPr>
        <w:t>行业</w:t>
      </w:r>
      <w:r>
        <w:rPr>
          <w:b/>
          <w:bCs/>
          <w:color w:val="auto"/>
          <w:sz w:val="44"/>
          <w:szCs w:val="44"/>
          <w:highlight w:val="none"/>
          <w:shd w:val="clear" w:color="auto" w:fill="FFFFFF"/>
        </w:rPr>
        <w:t>标准</w:t>
      </w:r>
    </w:p>
    <w:p>
      <w:pPr>
        <w:widowControl/>
        <w:spacing w:line="300" w:lineRule="auto"/>
        <w:jc w:val="center"/>
        <w:rPr>
          <w:b/>
          <w:bCs/>
          <w:color w:val="auto"/>
          <w:sz w:val="52"/>
          <w:szCs w:val="52"/>
          <w:highlight w:val="none"/>
          <w:shd w:val="clear" w:color="auto" w:fill="FFFFFF"/>
        </w:rPr>
      </w:pPr>
    </w:p>
    <w:p>
      <w:pPr>
        <w:widowControl/>
        <w:spacing w:line="300" w:lineRule="auto"/>
        <w:jc w:val="center"/>
        <w:rPr>
          <w:b/>
          <w:bCs/>
          <w:color w:val="auto"/>
          <w:sz w:val="44"/>
          <w:szCs w:val="44"/>
          <w:highlight w:val="none"/>
          <w:shd w:val="clear" w:color="auto" w:fill="FFFFFF"/>
        </w:rPr>
      </w:pPr>
      <w:r>
        <w:rPr>
          <w:b/>
          <w:bCs/>
          <w:color w:val="auto"/>
          <w:sz w:val="44"/>
          <w:szCs w:val="44"/>
          <w:highlight w:val="none"/>
          <w:shd w:val="clear" w:color="auto" w:fill="FFFFFF"/>
        </w:rPr>
        <w:t>《</w:t>
      </w:r>
      <w:r>
        <w:rPr>
          <w:rFonts w:hint="eastAsia"/>
          <w:b/>
          <w:bCs/>
          <w:color w:val="auto"/>
          <w:sz w:val="44"/>
          <w:szCs w:val="44"/>
          <w:highlight w:val="none"/>
          <w:shd w:val="clear" w:color="auto" w:fill="FFFFFF"/>
          <w:lang w:eastAsia="zh-CN"/>
        </w:rPr>
        <w:t>家具物流服务质量规范</w:t>
      </w:r>
      <w:r>
        <w:rPr>
          <w:b/>
          <w:bCs/>
          <w:color w:val="auto"/>
          <w:sz w:val="44"/>
          <w:szCs w:val="44"/>
          <w:highlight w:val="none"/>
          <w:shd w:val="clear" w:color="auto" w:fill="FFFFFF"/>
        </w:rPr>
        <w:t>》</w:t>
      </w:r>
    </w:p>
    <w:p>
      <w:pPr>
        <w:widowControl/>
        <w:spacing w:line="300" w:lineRule="auto"/>
        <w:jc w:val="center"/>
        <w:rPr>
          <w:rFonts w:hint="eastAsia" w:eastAsia="Tahoma"/>
          <w:color w:val="auto"/>
          <w:sz w:val="30"/>
          <w:szCs w:val="30"/>
          <w:highlight w:val="none"/>
        </w:rPr>
      </w:pPr>
      <w:r>
        <w:rPr>
          <w:rFonts w:hint="eastAsia" w:eastAsia="Tahoma"/>
          <w:color w:val="auto"/>
          <w:sz w:val="30"/>
          <w:szCs w:val="30"/>
          <w:highlight w:val="none"/>
        </w:rPr>
        <w:t>Quality requirements for furniture logistics servic</w:t>
      </w:r>
      <w:r>
        <w:rPr>
          <w:rFonts w:hint="eastAsia"/>
          <w:color w:val="auto"/>
          <w:sz w:val="30"/>
          <w:szCs w:val="30"/>
          <w:highlight w:val="none"/>
          <w:lang w:val="en-US" w:eastAsia="zh-CN"/>
        </w:rPr>
        <w:t>e</w:t>
      </w:r>
    </w:p>
    <w:p>
      <w:pPr>
        <w:widowControl/>
        <w:spacing w:line="300" w:lineRule="auto"/>
        <w:jc w:val="center"/>
        <w:rPr>
          <w:b/>
          <w:bCs/>
          <w:color w:val="auto"/>
          <w:sz w:val="44"/>
          <w:szCs w:val="44"/>
          <w:highlight w:val="none"/>
          <w:shd w:val="clear" w:color="auto" w:fill="FFFFFF"/>
        </w:rPr>
      </w:pPr>
      <w:r>
        <w:rPr>
          <w:rFonts w:hint="eastAsia"/>
          <w:b/>
          <w:bCs/>
          <w:color w:val="auto"/>
          <w:sz w:val="44"/>
          <w:szCs w:val="44"/>
          <w:highlight w:val="none"/>
          <w:shd w:val="clear" w:color="auto" w:fill="FFFFFF"/>
        </w:rPr>
        <w:t>（</w:t>
      </w:r>
      <w:r>
        <w:rPr>
          <w:rFonts w:hint="eastAsia"/>
          <w:b/>
          <w:bCs/>
          <w:color w:val="auto"/>
          <w:sz w:val="44"/>
          <w:szCs w:val="44"/>
          <w:highlight w:val="none"/>
          <w:shd w:val="clear" w:color="auto" w:fill="FFFFFF"/>
          <w:lang w:val="en-US" w:eastAsia="zh-CN"/>
        </w:rPr>
        <w:t>征求意见</w:t>
      </w:r>
      <w:r>
        <w:rPr>
          <w:rFonts w:hint="eastAsia"/>
          <w:b/>
          <w:bCs/>
          <w:color w:val="auto"/>
          <w:sz w:val="44"/>
          <w:szCs w:val="44"/>
          <w:highlight w:val="none"/>
          <w:shd w:val="clear" w:color="auto" w:fill="FFFFFF"/>
        </w:rPr>
        <w:t>稿）</w:t>
      </w:r>
    </w:p>
    <w:p>
      <w:pPr>
        <w:widowControl/>
        <w:spacing w:line="300" w:lineRule="auto"/>
        <w:jc w:val="center"/>
        <w:rPr>
          <w:b/>
          <w:bCs/>
          <w:color w:val="auto"/>
          <w:sz w:val="44"/>
          <w:szCs w:val="44"/>
          <w:highlight w:val="none"/>
          <w:shd w:val="clear" w:color="auto" w:fill="FFFFFF"/>
        </w:rPr>
      </w:pPr>
    </w:p>
    <w:p>
      <w:pPr>
        <w:widowControl/>
        <w:spacing w:line="300" w:lineRule="auto"/>
        <w:jc w:val="center"/>
        <w:rPr>
          <w:b/>
          <w:bCs/>
          <w:color w:val="auto"/>
          <w:sz w:val="44"/>
          <w:szCs w:val="44"/>
          <w:highlight w:val="none"/>
          <w:shd w:val="clear" w:color="auto" w:fill="FFFFFF"/>
        </w:rPr>
      </w:pPr>
    </w:p>
    <w:p>
      <w:pPr>
        <w:widowControl/>
        <w:spacing w:line="300" w:lineRule="auto"/>
        <w:jc w:val="center"/>
        <w:rPr>
          <w:b/>
          <w:bCs/>
          <w:color w:val="auto"/>
          <w:sz w:val="44"/>
          <w:szCs w:val="44"/>
          <w:highlight w:val="none"/>
          <w:shd w:val="clear" w:color="auto" w:fill="FFFFFF"/>
        </w:rPr>
      </w:pPr>
    </w:p>
    <w:p>
      <w:pPr>
        <w:widowControl/>
        <w:spacing w:line="300" w:lineRule="auto"/>
        <w:jc w:val="center"/>
        <w:rPr>
          <w:b/>
          <w:bCs/>
          <w:color w:val="auto"/>
          <w:sz w:val="44"/>
          <w:szCs w:val="44"/>
          <w:highlight w:val="none"/>
          <w:shd w:val="clear" w:color="auto" w:fill="FFFFFF"/>
        </w:rPr>
      </w:pPr>
      <w:r>
        <w:rPr>
          <w:b/>
          <w:bCs/>
          <w:color w:val="auto"/>
          <w:sz w:val="44"/>
          <w:szCs w:val="44"/>
          <w:highlight w:val="none"/>
          <w:shd w:val="clear" w:color="auto" w:fill="FFFFFF"/>
        </w:rPr>
        <w:t>编制说明</w:t>
      </w:r>
    </w:p>
    <w:p>
      <w:pPr>
        <w:widowControl/>
        <w:spacing w:line="300" w:lineRule="auto"/>
        <w:jc w:val="center"/>
        <w:rPr>
          <w:b/>
          <w:bCs/>
          <w:color w:val="auto"/>
          <w:sz w:val="32"/>
          <w:szCs w:val="32"/>
          <w:highlight w:val="none"/>
          <w:shd w:val="clear" w:color="auto" w:fill="FFFFFF"/>
        </w:rPr>
      </w:pPr>
    </w:p>
    <w:p>
      <w:pPr>
        <w:widowControl/>
        <w:spacing w:line="300" w:lineRule="auto"/>
        <w:jc w:val="center"/>
        <w:rPr>
          <w:b/>
          <w:bCs/>
          <w:color w:val="auto"/>
          <w:sz w:val="32"/>
          <w:szCs w:val="32"/>
          <w:highlight w:val="none"/>
          <w:shd w:val="clear" w:color="auto" w:fill="FFFFFF"/>
        </w:rPr>
      </w:pPr>
    </w:p>
    <w:p>
      <w:pPr>
        <w:widowControl/>
        <w:spacing w:line="300" w:lineRule="auto"/>
        <w:jc w:val="center"/>
        <w:rPr>
          <w:b/>
          <w:bCs/>
          <w:color w:val="auto"/>
          <w:sz w:val="32"/>
          <w:szCs w:val="32"/>
          <w:highlight w:val="none"/>
          <w:shd w:val="clear" w:color="auto" w:fill="FFFFFF"/>
        </w:rPr>
      </w:pPr>
    </w:p>
    <w:p>
      <w:pPr>
        <w:widowControl/>
        <w:spacing w:line="300" w:lineRule="auto"/>
        <w:rPr>
          <w:b/>
          <w:bCs/>
          <w:color w:val="auto"/>
          <w:sz w:val="32"/>
          <w:szCs w:val="32"/>
          <w:highlight w:val="none"/>
          <w:shd w:val="clear" w:color="auto" w:fill="FFFFFF"/>
        </w:rPr>
      </w:pPr>
    </w:p>
    <w:p>
      <w:pPr>
        <w:widowControl/>
        <w:spacing w:line="300" w:lineRule="auto"/>
        <w:jc w:val="center"/>
        <w:rPr>
          <w:b/>
          <w:bCs/>
          <w:color w:val="auto"/>
          <w:sz w:val="32"/>
          <w:szCs w:val="32"/>
          <w:highlight w:val="none"/>
          <w:shd w:val="clear" w:color="auto" w:fill="FFFFFF"/>
        </w:rPr>
      </w:pPr>
    </w:p>
    <w:p>
      <w:pPr>
        <w:widowControl/>
        <w:spacing w:line="300" w:lineRule="auto"/>
        <w:jc w:val="center"/>
        <w:rPr>
          <w:b/>
          <w:bCs/>
          <w:color w:val="auto"/>
          <w:sz w:val="32"/>
          <w:szCs w:val="32"/>
          <w:highlight w:val="none"/>
          <w:shd w:val="clear" w:color="auto" w:fill="FFFFFF"/>
        </w:rPr>
      </w:pPr>
    </w:p>
    <w:p>
      <w:pPr>
        <w:widowControl/>
        <w:spacing w:line="300" w:lineRule="auto"/>
        <w:jc w:val="center"/>
        <w:rPr>
          <w:rFonts w:hint="eastAsia"/>
          <w:b/>
          <w:bCs/>
          <w:color w:val="auto"/>
          <w:sz w:val="30"/>
          <w:szCs w:val="30"/>
          <w:highlight w:val="none"/>
          <w:shd w:val="clear" w:color="auto" w:fill="FFFFFF"/>
          <w:lang w:eastAsia="zh-CN"/>
        </w:rPr>
      </w:pPr>
      <w:r>
        <w:rPr>
          <w:rFonts w:hint="eastAsia"/>
          <w:b/>
          <w:bCs/>
          <w:color w:val="auto"/>
          <w:sz w:val="30"/>
          <w:szCs w:val="30"/>
          <w:highlight w:val="none"/>
          <w:shd w:val="clear" w:color="auto" w:fill="FFFFFF"/>
          <w:lang w:eastAsia="zh-CN"/>
        </w:rPr>
        <w:t>标准起草小组</w:t>
      </w:r>
    </w:p>
    <w:p>
      <w:pPr>
        <w:widowControl/>
        <w:spacing w:line="300" w:lineRule="auto"/>
        <w:jc w:val="center"/>
        <w:rPr>
          <w:b/>
          <w:bCs/>
          <w:color w:val="auto"/>
          <w:sz w:val="30"/>
          <w:szCs w:val="30"/>
          <w:highlight w:val="none"/>
          <w:shd w:val="clear" w:color="auto" w:fill="FFFFFF"/>
        </w:rPr>
        <w:sectPr>
          <w:footerReference r:id="rId4" w:type="first"/>
          <w:footerReference r:id="rId3" w:type="default"/>
          <w:pgSz w:w="11906" w:h="16838"/>
          <w:pgMar w:top="1440" w:right="1800" w:bottom="1440" w:left="1800" w:header="851" w:footer="992" w:gutter="0"/>
          <w:pgNumType w:fmt="decimal" w:start="0"/>
          <w:cols w:space="720" w:num="1"/>
          <w:titlePg/>
          <w:docGrid w:type="lines" w:linePitch="312" w:charSpace="0"/>
        </w:sectPr>
      </w:pPr>
      <w:r>
        <w:rPr>
          <w:rFonts w:hint="eastAsia"/>
          <w:b/>
          <w:bCs/>
          <w:color w:val="auto"/>
          <w:sz w:val="30"/>
          <w:szCs w:val="30"/>
          <w:highlight w:val="none"/>
          <w:shd w:val="clear" w:color="auto" w:fill="FFFFFF"/>
        </w:rPr>
        <w:t>2017</w:t>
      </w:r>
      <w:r>
        <w:rPr>
          <w:b/>
          <w:bCs/>
          <w:color w:val="auto"/>
          <w:sz w:val="30"/>
          <w:szCs w:val="30"/>
          <w:highlight w:val="none"/>
          <w:shd w:val="clear" w:color="auto" w:fill="FFFFFF"/>
        </w:rPr>
        <w:t>年</w:t>
      </w:r>
      <w:r>
        <w:rPr>
          <w:rFonts w:hint="eastAsia"/>
          <w:b/>
          <w:bCs/>
          <w:color w:val="auto"/>
          <w:sz w:val="30"/>
          <w:szCs w:val="30"/>
          <w:highlight w:val="none"/>
          <w:shd w:val="clear" w:color="auto" w:fill="FFFFFF"/>
          <w:lang w:val="en-US" w:eastAsia="zh-CN"/>
        </w:rPr>
        <w:t>8</w:t>
      </w:r>
      <w:r>
        <w:rPr>
          <w:b/>
          <w:bCs/>
          <w:color w:val="auto"/>
          <w:sz w:val="30"/>
          <w:szCs w:val="30"/>
          <w:highlight w:val="none"/>
          <w:shd w:val="clear" w:color="auto" w:fill="FFFFFF"/>
        </w:rPr>
        <w:t>月</w:t>
      </w:r>
    </w:p>
    <w:p>
      <w:pPr>
        <w:spacing w:line="360" w:lineRule="auto"/>
        <w:jc w:val="center"/>
        <w:rPr>
          <w:rFonts w:hint="eastAsia"/>
          <w:b/>
          <w:color w:val="auto"/>
          <w:sz w:val="32"/>
          <w:szCs w:val="32"/>
          <w:highlight w:val="none"/>
        </w:rPr>
      </w:pPr>
      <w:r>
        <w:rPr>
          <w:rFonts w:hint="eastAsia"/>
          <w:b/>
          <w:color w:val="auto"/>
          <w:sz w:val="32"/>
          <w:szCs w:val="32"/>
          <w:highlight w:val="none"/>
        </w:rPr>
        <w:t>《</w:t>
      </w:r>
      <w:r>
        <w:rPr>
          <w:rFonts w:hint="eastAsia"/>
          <w:b/>
          <w:color w:val="auto"/>
          <w:sz w:val="32"/>
          <w:szCs w:val="32"/>
          <w:highlight w:val="none"/>
          <w:lang w:eastAsia="zh-CN"/>
        </w:rPr>
        <w:t>家具物流服务质量规范</w:t>
      </w:r>
      <w:r>
        <w:rPr>
          <w:rFonts w:hint="eastAsia"/>
          <w:b/>
          <w:color w:val="auto"/>
          <w:sz w:val="32"/>
          <w:szCs w:val="32"/>
          <w:highlight w:val="none"/>
        </w:rPr>
        <w:t>》编制说明</w:t>
      </w:r>
    </w:p>
    <w:p>
      <w:pPr>
        <w:spacing w:line="360" w:lineRule="auto"/>
        <w:jc w:val="center"/>
        <w:rPr>
          <w:rFonts w:hint="eastAsia"/>
          <w:color w:val="auto"/>
          <w:sz w:val="30"/>
          <w:szCs w:val="30"/>
          <w:highlight w:val="none"/>
        </w:rPr>
      </w:pPr>
      <w:r>
        <w:rPr>
          <w:rFonts w:hint="eastAsia"/>
          <w:color w:val="auto"/>
          <w:sz w:val="30"/>
          <w:szCs w:val="30"/>
          <w:highlight w:val="none"/>
        </w:rPr>
        <w:t>（</w:t>
      </w:r>
      <w:r>
        <w:rPr>
          <w:rFonts w:hint="eastAsia"/>
          <w:color w:val="auto"/>
          <w:sz w:val="30"/>
          <w:szCs w:val="30"/>
          <w:highlight w:val="none"/>
          <w:lang w:val="en-US" w:eastAsia="zh-CN"/>
        </w:rPr>
        <w:t>征求意见</w:t>
      </w:r>
      <w:bookmarkStart w:id="0" w:name="_GoBack"/>
      <w:bookmarkEnd w:id="0"/>
      <w:r>
        <w:rPr>
          <w:rFonts w:hint="eastAsia"/>
          <w:color w:val="auto"/>
          <w:sz w:val="30"/>
          <w:szCs w:val="30"/>
          <w:highlight w:val="none"/>
        </w:rPr>
        <w:t>稿）</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1  </w:t>
      </w:r>
      <w:r>
        <w:rPr>
          <w:rFonts w:hint="eastAsia" w:ascii="宋体" w:hAnsi="宋体"/>
          <w:b/>
          <w:color w:val="auto"/>
          <w:kern w:val="0"/>
          <w:sz w:val="24"/>
          <w:highlight w:val="none"/>
          <w:lang w:eastAsia="zh-CN"/>
        </w:rPr>
        <w:t>项目来源与主要工作过程</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rPr>
        <w:t>1</w:t>
      </w:r>
      <w:r>
        <w:rPr>
          <w:rFonts w:hint="eastAsia" w:ascii="宋体" w:hAnsi="宋体"/>
          <w:b/>
          <w:color w:val="auto"/>
          <w:kern w:val="0"/>
          <w:sz w:val="24"/>
          <w:highlight w:val="none"/>
          <w:lang w:eastAsia="zh-CN"/>
        </w:rPr>
        <w:t>.</w:t>
      </w:r>
      <w:r>
        <w:rPr>
          <w:rFonts w:hint="eastAsia" w:ascii="宋体" w:hAnsi="宋体"/>
          <w:b/>
          <w:color w:val="auto"/>
          <w:kern w:val="0"/>
          <w:sz w:val="24"/>
          <w:highlight w:val="none"/>
          <w:lang w:val="en-US" w:eastAsia="zh-CN"/>
        </w:rPr>
        <w:t xml:space="preserve">1  </w:t>
      </w:r>
      <w:r>
        <w:rPr>
          <w:rFonts w:hint="eastAsia" w:ascii="宋体" w:hAnsi="宋体"/>
          <w:b/>
          <w:color w:val="auto"/>
          <w:kern w:val="0"/>
          <w:sz w:val="24"/>
          <w:highlight w:val="none"/>
        </w:rPr>
        <w:t>任务来源</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家具物流服务质量规范》是由中国物流与采购联合会提出，由全国物流标准化技术委员会（SAC/TC 269）归口，该标准已批准列入“2016年度物流行业标准项目计划”（发改办经贸【2015】3436号）。该标准由广东联运汇物流供应链有限公司、佛山亿航物流有限公司、成都居家通物流有限公司、山东万众供应链管理有限公司、江西正佳物流有限公司、佛山市顺德区创联科技与标准化服务中心、佛山市质量和标准化研究院、广东省佛山市质量技术监督标准与编码所、广东省物流行业协会、广东神鹰物流有限公司、深圳合诚家居有限公司、佛山市顺德区乐从交通物流发展商会、佛山市电子商务协会物流分会共同起草。</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1.2  </w:t>
      </w:r>
      <w:r>
        <w:rPr>
          <w:rFonts w:hint="eastAsia" w:ascii="宋体" w:hAnsi="宋体"/>
          <w:b/>
          <w:color w:val="auto"/>
          <w:kern w:val="0"/>
          <w:sz w:val="24"/>
          <w:highlight w:val="none"/>
        </w:rPr>
        <w:t>主要工作过程</w:t>
      </w:r>
    </w:p>
    <w:p>
      <w:pPr>
        <w:spacing w:line="360" w:lineRule="auto"/>
        <w:ind w:firstLine="482" w:firstLineChars="200"/>
        <w:rPr>
          <w:rFonts w:hint="eastAsia" w:ascii="宋体" w:hAnsi="宋体"/>
          <w:b/>
          <w:bCs/>
          <w:color w:val="auto"/>
          <w:sz w:val="24"/>
          <w:highlight w:val="none"/>
          <w:lang w:eastAsia="zh-CN"/>
        </w:rPr>
      </w:pPr>
      <w:r>
        <w:rPr>
          <w:rFonts w:hint="eastAsia" w:ascii="宋体" w:hAnsi="宋体"/>
          <w:b/>
          <w:bCs/>
          <w:color w:val="auto"/>
          <w:sz w:val="24"/>
          <w:highlight w:val="none"/>
          <w:lang w:val="en-US" w:eastAsia="zh-CN"/>
        </w:rPr>
        <w:t xml:space="preserve">1.2.1  </w:t>
      </w:r>
      <w:r>
        <w:rPr>
          <w:rFonts w:hint="eastAsia" w:ascii="宋体" w:hAnsi="宋体"/>
          <w:b/>
          <w:bCs/>
          <w:color w:val="auto"/>
          <w:sz w:val="24"/>
          <w:highlight w:val="none"/>
          <w:lang w:eastAsia="zh-CN"/>
        </w:rPr>
        <w:t>预研阶段</w:t>
      </w:r>
    </w:p>
    <w:p>
      <w:p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rPr>
        <w:t>2014年6月，项目组向全国物流标准化技术委员会（TC269）</w:t>
      </w:r>
      <w:r>
        <w:rPr>
          <w:rFonts w:hint="eastAsia" w:ascii="宋体" w:hAnsi="宋体"/>
          <w:color w:val="auto"/>
          <w:sz w:val="24"/>
          <w:highlight w:val="none"/>
          <w:lang w:eastAsia="zh-CN"/>
        </w:rPr>
        <w:t>提</w:t>
      </w:r>
      <w:r>
        <w:rPr>
          <w:rFonts w:hint="eastAsia" w:ascii="宋体" w:hAnsi="宋体"/>
          <w:color w:val="auto"/>
          <w:sz w:val="24"/>
          <w:highlight w:val="none"/>
        </w:rPr>
        <w:t>交了关于制定《家具物流服务质量规范》推荐性行业标准项目建议书</w:t>
      </w:r>
      <w:r>
        <w:rPr>
          <w:rFonts w:hint="eastAsia" w:ascii="宋体" w:hAnsi="宋体"/>
          <w:color w:val="auto"/>
          <w:sz w:val="24"/>
          <w:highlight w:val="none"/>
          <w:lang w:val="en-US" w:eastAsia="zh-CN"/>
        </w:rPr>
        <w:t>和标准草案。</w:t>
      </w:r>
      <w:r>
        <w:rPr>
          <w:rFonts w:hint="eastAsia" w:ascii="宋体" w:hAnsi="宋体"/>
          <w:color w:val="auto"/>
          <w:sz w:val="24"/>
          <w:highlight w:val="none"/>
        </w:rPr>
        <w:t>2015年5月20日，中国物流学会常务副会长、中国物流与采购联合会专家委员会副主任、全国物流标准</w:t>
      </w:r>
      <w:r>
        <w:rPr>
          <w:rFonts w:hint="eastAsia" w:ascii="宋体" w:hAnsi="宋体"/>
          <w:color w:val="auto"/>
          <w:sz w:val="24"/>
          <w:highlight w:val="none"/>
          <w:lang w:eastAsia="zh-CN"/>
        </w:rPr>
        <w:t>化技术委员会副主任戴定一，中国物流与采购联合会标准工作部主任、全国物流标准化技术委员会秘书长李红梅，全国物流标准化技术委员会、广东省标准化研究院标准审查中心主任李江虹等多位专家来到顺德区龙江镇考察当地的家具物流产业，并</w:t>
      </w:r>
      <w:r>
        <w:rPr>
          <w:rFonts w:hint="eastAsia" w:ascii="宋体" w:hAnsi="宋体"/>
          <w:color w:val="auto"/>
          <w:sz w:val="24"/>
          <w:highlight w:val="none"/>
          <w:lang w:val="en-US" w:eastAsia="zh-CN"/>
        </w:rPr>
        <w:t>与当地26家从事家具物流服务的企业、家具经销商、家具电商，共同开展</w:t>
      </w:r>
      <w:r>
        <w:rPr>
          <w:rFonts w:hint="eastAsia" w:ascii="宋体" w:hAnsi="宋体"/>
          <w:color w:val="auto"/>
          <w:sz w:val="24"/>
          <w:highlight w:val="none"/>
          <w:lang w:eastAsia="zh-CN"/>
        </w:rPr>
        <w:t>《家具物流服务质量规范》行业标准研讨会。</w:t>
      </w:r>
      <w:r>
        <w:rPr>
          <w:rFonts w:hint="eastAsia" w:ascii="宋体" w:hAnsi="宋体"/>
          <w:color w:val="auto"/>
          <w:sz w:val="24"/>
          <w:highlight w:val="none"/>
          <w:lang w:val="en-US" w:eastAsia="zh-CN"/>
        </w:rPr>
        <w:t>会上戴会长与一众专家听取了企业的诉求与需求，得出目前家具物流行业急需解决的是服务于责任的对应关系，通过制定行业标准，梳理、解决家具物流服务相关方的矛盾与纠纷，最终提升行业的服务质量与水平。</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2015年12月25日，</w:t>
      </w:r>
      <w:r>
        <w:rPr>
          <w:rFonts w:hint="eastAsia" w:ascii="宋体" w:hAnsi="宋体"/>
          <w:color w:val="auto"/>
          <w:sz w:val="24"/>
          <w:highlight w:val="none"/>
          <w:lang w:eastAsia="zh-CN"/>
        </w:rPr>
        <w:t>国家发改委办公厅（发改办经贸【201</w:t>
      </w:r>
      <w:r>
        <w:rPr>
          <w:rFonts w:hint="eastAsia" w:ascii="宋体" w:hAnsi="宋体"/>
          <w:color w:val="auto"/>
          <w:sz w:val="24"/>
          <w:highlight w:val="none"/>
          <w:lang w:val="en-US" w:eastAsia="zh-CN"/>
        </w:rPr>
        <w:t>5</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3436</w:t>
      </w:r>
      <w:r>
        <w:rPr>
          <w:rFonts w:hint="eastAsia" w:ascii="宋体" w:hAnsi="宋体"/>
          <w:color w:val="auto"/>
          <w:sz w:val="24"/>
          <w:highlight w:val="none"/>
          <w:lang w:eastAsia="zh-CN"/>
        </w:rPr>
        <w:t>号）批准，</w:t>
      </w:r>
      <w:r>
        <w:rPr>
          <w:rFonts w:hint="eastAsia" w:ascii="宋体" w:hAnsi="宋体"/>
          <w:color w:val="auto"/>
          <w:sz w:val="24"/>
          <w:highlight w:val="none"/>
          <w:lang w:val="en-US" w:eastAsia="zh-CN"/>
        </w:rPr>
        <w:t>将</w:t>
      </w:r>
      <w:r>
        <w:rPr>
          <w:rFonts w:hint="eastAsia" w:ascii="宋体" w:hAnsi="宋体"/>
          <w:color w:val="auto"/>
          <w:sz w:val="24"/>
          <w:highlight w:val="none"/>
          <w:lang w:eastAsia="zh-CN"/>
        </w:rPr>
        <w:t>《家具物流服务质量规范》列入“201</w:t>
      </w:r>
      <w:r>
        <w:rPr>
          <w:rFonts w:hint="eastAsia" w:ascii="宋体" w:hAnsi="宋体"/>
          <w:color w:val="auto"/>
          <w:sz w:val="24"/>
          <w:highlight w:val="none"/>
          <w:lang w:val="en-US" w:eastAsia="zh-CN"/>
        </w:rPr>
        <w:t>6</w:t>
      </w:r>
      <w:r>
        <w:rPr>
          <w:rFonts w:hint="eastAsia" w:ascii="宋体" w:hAnsi="宋体"/>
          <w:color w:val="auto"/>
          <w:sz w:val="24"/>
          <w:highlight w:val="none"/>
          <w:lang w:eastAsia="zh-CN"/>
        </w:rPr>
        <w:t>年度物流行业标准项目计划”。</w:t>
      </w:r>
    </w:p>
    <w:p>
      <w:pPr>
        <w:spacing w:line="360" w:lineRule="auto"/>
        <w:ind w:firstLine="482" w:firstLineChars="200"/>
        <w:rPr>
          <w:rFonts w:hint="eastAsia" w:ascii="宋体" w:hAnsi="宋体"/>
          <w:b/>
          <w:bCs/>
          <w:color w:val="auto"/>
          <w:sz w:val="24"/>
          <w:highlight w:val="none"/>
          <w:lang w:eastAsia="zh-CN"/>
        </w:rPr>
      </w:pPr>
      <w:r>
        <w:rPr>
          <w:rFonts w:hint="eastAsia" w:ascii="宋体" w:hAnsi="宋体"/>
          <w:b/>
          <w:bCs/>
          <w:color w:val="auto"/>
          <w:sz w:val="24"/>
          <w:highlight w:val="none"/>
          <w:lang w:val="en-US" w:eastAsia="zh-CN"/>
        </w:rPr>
        <w:t xml:space="preserve">1.2.2  </w:t>
      </w:r>
      <w:r>
        <w:rPr>
          <w:rFonts w:hint="eastAsia" w:ascii="宋体" w:hAnsi="宋体"/>
          <w:b/>
          <w:bCs/>
          <w:color w:val="auto"/>
          <w:sz w:val="24"/>
          <w:highlight w:val="none"/>
          <w:lang w:eastAsia="zh-CN"/>
        </w:rPr>
        <w:t>起草阶段</w:t>
      </w:r>
    </w:p>
    <w:p>
      <w:pPr>
        <w:spacing w:line="360" w:lineRule="auto"/>
        <w:ind w:firstLine="482" w:firstLineChars="200"/>
        <w:rPr>
          <w:rFonts w:hint="eastAsia" w:ascii="宋体" w:hAnsi="宋体"/>
          <w:b/>
          <w:bCs/>
          <w:color w:val="auto"/>
          <w:sz w:val="24"/>
          <w:highlight w:val="none"/>
          <w:lang w:eastAsia="zh-CN"/>
        </w:rPr>
      </w:pPr>
      <w:r>
        <w:rPr>
          <w:rFonts w:hint="eastAsia" w:ascii="宋体" w:hAnsi="宋体"/>
          <w:b/>
          <w:bCs/>
          <w:color w:val="auto"/>
          <w:sz w:val="24"/>
          <w:highlight w:val="none"/>
          <w:lang w:val="en-US" w:eastAsia="zh-CN"/>
        </w:rPr>
        <w:t xml:space="preserve">1.2.2.1  </w:t>
      </w:r>
      <w:r>
        <w:rPr>
          <w:rFonts w:hint="eastAsia" w:ascii="宋体" w:hAnsi="宋体"/>
          <w:b/>
          <w:bCs/>
          <w:color w:val="auto"/>
          <w:sz w:val="24"/>
          <w:highlight w:val="none"/>
          <w:lang w:eastAsia="zh-CN"/>
        </w:rPr>
        <w:t>启动阶段</w:t>
      </w:r>
    </w:p>
    <w:p>
      <w:pPr>
        <w:spacing w:line="360" w:lineRule="auto"/>
        <w:ind w:left="2" w:leftChars="1" w:firstLine="480" w:firstLineChars="200"/>
        <w:rPr>
          <w:rFonts w:hint="eastAsia" w:asciiTheme="minorEastAsia" w:hAnsiTheme="minorEastAsia" w:eastAsiaTheme="minorEastAsia" w:cstheme="minorEastAsia"/>
          <w:color w:val="auto"/>
          <w:sz w:val="21"/>
          <w:szCs w:val="21"/>
          <w:highlight w:val="none"/>
        </w:rPr>
      </w:pPr>
      <w:r>
        <w:rPr>
          <w:rFonts w:hint="eastAsia" w:ascii="宋体" w:hAnsi="宋体"/>
          <w:color w:val="auto"/>
          <w:sz w:val="24"/>
          <w:highlight w:val="none"/>
        </w:rPr>
        <w:t>201</w:t>
      </w:r>
      <w:r>
        <w:rPr>
          <w:rFonts w:hint="eastAsia" w:ascii="宋体" w:hAnsi="宋体"/>
          <w:color w:val="auto"/>
          <w:sz w:val="24"/>
          <w:highlight w:val="none"/>
          <w:lang w:val="en-US" w:eastAsia="zh-CN"/>
        </w:rPr>
        <w:t>6</w:t>
      </w:r>
      <w:r>
        <w:rPr>
          <w:rFonts w:hint="eastAsia" w:ascii="宋体" w:hAnsi="宋体"/>
          <w:color w:val="auto"/>
          <w:sz w:val="24"/>
          <w:highlight w:val="none"/>
        </w:rPr>
        <w:t>年</w:t>
      </w:r>
      <w:r>
        <w:rPr>
          <w:rFonts w:hint="eastAsia" w:ascii="宋体" w:hAnsi="宋体"/>
          <w:color w:val="auto"/>
          <w:sz w:val="24"/>
          <w:highlight w:val="none"/>
          <w:lang w:val="en-US" w:eastAsia="zh-CN"/>
        </w:rPr>
        <w:t>3</w:t>
      </w:r>
      <w:r>
        <w:rPr>
          <w:rFonts w:hint="eastAsia" w:ascii="宋体" w:hAnsi="宋体"/>
          <w:color w:val="auto"/>
          <w:sz w:val="24"/>
          <w:highlight w:val="none"/>
        </w:rPr>
        <w:t>月</w:t>
      </w:r>
      <w:r>
        <w:rPr>
          <w:rFonts w:hint="eastAsia" w:ascii="宋体" w:hAnsi="宋体"/>
          <w:color w:val="auto"/>
          <w:sz w:val="24"/>
          <w:highlight w:val="none"/>
          <w:lang w:val="en-US" w:eastAsia="zh-CN"/>
        </w:rPr>
        <w:t>14</w:t>
      </w:r>
      <w:r>
        <w:rPr>
          <w:rFonts w:hint="eastAsia" w:ascii="宋体" w:hAnsi="宋体"/>
          <w:color w:val="auto"/>
          <w:sz w:val="24"/>
          <w:highlight w:val="none"/>
        </w:rPr>
        <w:t>日，</w:t>
      </w:r>
      <w:r>
        <w:rPr>
          <w:rFonts w:hint="eastAsia" w:ascii="宋体" w:hAnsi="宋体"/>
          <w:color w:val="auto"/>
          <w:sz w:val="24"/>
          <w:highlight w:val="none"/>
          <w:lang w:eastAsia="zh-CN"/>
        </w:rPr>
        <w:t>标准起草小组正式成立，由</w:t>
      </w:r>
      <w:r>
        <w:rPr>
          <w:rFonts w:hint="eastAsia" w:ascii="宋体" w:hAnsi="宋体"/>
          <w:color w:val="auto"/>
          <w:sz w:val="24"/>
          <w:highlight w:val="none"/>
        </w:rPr>
        <w:t>广东联运汇物流供应链有限公司</w:t>
      </w:r>
      <w:r>
        <w:rPr>
          <w:rFonts w:hint="eastAsia" w:ascii="宋体" w:hAnsi="宋体"/>
          <w:color w:val="auto"/>
          <w:sz w:val="24"/>
          <w:highlight w:val="none"/>
          <w:lang w:eastAsia="zh-CN"/>
        </w:rPr>
        <w:t>、佛山市顺德区创联科技与标准化服务中心共同牵头开展标准研制工作</w:t>
      </w:r>
      <w:r>
        <w:rPr>
          <w:rFonts w:hint="eastAsia" w:ascii="宋体" w:hAnsi="宋体"/>
          <w:color w:val="auto"/>
          <w:sz w:val="24"/>
          <w:highlight w:val="none"/>
        </w:rPr>
        <w:t>。</w:t>
      </w:r>
    </w:p>
    <w:p>
      <w:pPr>
        <w:spacing w:line="360" w:lineRule="auto"/>
        <w:ind w:firstLine="482" w:firstLineChars="200"/>
        <w:rPr>
          <w:rFonts w:hint="eastAsia" w:ascii="宋体" w:hAnsi="宋体"/>
          <w:b/>
          <w:bCs/>
          <w:color w:val="auto"/>
          <w:sz w:val="24"/>
          <w:highlight w:val="none"/>
          <w:lang w:eastAsia="zh-CN"/>
        </w:rPr>
      </w:pPr>
      <w:r>
        <w:rPr>
          <w:rFonts w:hint="eastAsia" w:ascii="宋体" w:hAnsi="宋体"/>
          <w:b/>
          <w:bCs/>
          <w:color w:val="auto"/>
          <w:sz w:val="24"/>
          <w:highlight w:val="none"/>
          <w:lang w:val="en-US" w:eastAsia="zh-CN"/>
        </w:rPr>
        <w:t xml:space="preserve">1.2.2.2  </w:t>
      </w:r>
      <w:r>
        <w:rPr>
          <w:rFonts w:hint="eastAsia" w:ascii="宋体" w:hAnsi="宋体"/>
          <w:b/>
          <w:bCs/>
          <w:color w:val="auto"/>
          <w:sz w:val="24"/>
          <w:highlight w:val="none"/>
          <w:lang w:eastAsia="zh-CN"/>
        </w:rPr>
        <w:t>调研及标准</w:t>
      </w:r>
      <w:r>
        <w:rPr>
          <w:rFonts w:hint="eastAsia" w:ascii="宋体" w:hAnsi="宋体"/>
          <w:b/>
          <w:bCs/>
          <w:color w:val="auto"/>
          <w:sz w:val="24"/>
          <w:highlight w:val="none"/>
          <w:lang w:val="en-US" w:eastAsia="zh-CN"/>
        </w:rPr>
        <w:t>制定</w:t>
      </w:r>
      <w:r>
        <w:rPr>
          <w:rFonts w:hint="eastAsia" w:ascii="宋体" w:hAnsi="宋体"/>
          <w:b/>
          <w:bCs/>
          <w:color w:val="auto"/>
          <w:sz w:val="24"/>
          <w:highlight w:val="none"/>
          <w:lang w:eastAsia="zh-CN"/>
        </w:rPr>
        <w:t>阶段</w:t>
      </w:r>
    </w:p>
    <w:p>
      <w:pPr>
        <w:spacing w:line="360" w:lineRule="auto"/>
        <w:ind w:left="2" w:leftChars="1" w:firstLine="480" w:firstLineChars="200"/>
        <w:rPr>
          <w:rFonts w:hint="eastAsia" w:ascii="宋体" w:hAnsi="宋体"/>
          <w:color w:val="auto"/>
          <w:sz w:val="24"/>
          <w:highlight w:val="none"/>
        </w:rPr>
      </w:pPr>
      <w:r>
        <w:rPr>
          <w:rFonts w:hint="eastAsia" w:ascii="宋体" w:hAnsi="宋体"/>
          <w:color w:val="auto"/>
          <w:sz w:val="24"/>
          <w:highlight w:val="none"/>
        </w:rPr>
        <w:t>为了全面掌握</w:t>
      </w:r>
      <w:r>
        <w:rPr>
          <w:rFonts w:hint="eastAsia" w:ascii="宋体" w:hAnsi="宋体"/>
          <w:color w:val="auto"/>
          <w:sz w:val="24"/>
          <w:highlight w:val="none"/>
          <w:lang w:val="en-US" w:eastAsia="zh-CN"/>
        </w:rPr>
        <w:t>我国家具物流服务的发展现状及制约发展的瓶颈，标准起草小组广泛收集与之相关的文献、标准及法律法规，并进行研究分析，</w:t>
      </w:r>
      <w:r>
        <w:rPr>
          <w:rFonts w:hint="eastAsia" w:ascii="宋体" w:hAnsi="宋体"/>
          <w:color w:val="auto"/>
          <w:sz w:val="24"/>
          <w:highlight w:val="none"/>
        </w:rPr>
        <w:t>为本标准的起草积累了素材</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编制了《家具物流服务质量规范》第一稿。</w:t>
      </w:r>
    </w:p>
    <w:p>
      <w:pPr>
        <w:spacing w:line="360" w:lineRule="auto"/>
        <w:ind w:left="2" w:leftChars="1" w:firstLine="480" w:firstLineChars="200"/>
        <w:rPr>
          <w:rFonts w:hint="eastAsia"/>
          <w:color w:val="auto"/>
          <w:sz w:val="24"/>
          <w:szCs w:val="24"/>
          <w:highlight w:val="none"/>
          <w:shd w:val="clear" w:color="auto" w:fill="FFFFFF"/>
          <w:lang w:eastAsia="zh-CN"/>
        </w:rPr>
      </w:pPr>
      <w:r>
        <w:rPr>
          <w:rFonts w:hint="eastAsia" w:ascii="宋体" w:hAnsi="宋体"/>
          <w:color w:val="auto"/>
          <w:sz w:val="24"/>
          <w:highlight w:val="none"/>
        </w:rPr>
        <w:t>201</w:t>
      </w:r>
      <w:r>
        <w:rPr>
          <w:rFonts w:hint="eastAsia" w:ascii="宋体" w:hAnsi="宋体"/>
          <w:color w:val="auto"/>
          <w:sz w:val="24"/>
          <w:highlight w:val="none"/>
          <w:lang w:val="en-US" w:eastAsia="zh-CN"/>
        </w:rPr>
        <w:t>6年5月至12月期间，标准起草小组先后走访了广东省物流行业协会（广东省物流行业标准化技术委员会）、</w:t>
      </w:r>
      <w:r>
        <w:rPr>
          <w:rFonts w:hint="eastAsia" w:ascii="宋体" w:hAnsi="宋体" w:cs="宋体"/>
          <w:color w:val="auto"/>
          <w:sz w:val="24"/>
          <w:highlight w:val="none"/>
          <w:lang w:val="en-US" w:eastAsia="zh-CN"/>
        </w:rPr>
        <w:t>联运汇物流园、亿航物流、居家通物流、日日顺物流、黑蚁物联、</w:t>
      </w:r>
      <w:r>
        <w:rPr>
          <w:rFonts w:hint="eastAsia" w:ascii="宋体" w:hAnsi="宋体" w:cs="宋体"/>
          <w:color w:val="auto"/>
          <w:sz w:val="24"/>
          <w:highlight w:val="none"/>
        </w:rPr>
        <w:t>远行物流、吉昌物流</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维尚家具</w:t>
      </w:r>
      <w:r>
        <w:rPr>
          <w:rFonts w:hint="eastAsia" w:ascii="宋体" w:hAnsi="宋体" w:cs="宋体"/>
          <w:color w:val="auto"/>
          <w:sz w:val="24"/>
          <w:highlight w:val="none"/>
        </w:rPr>
        <w:t>等</w:t>
      </w:r>
      <w:r>
        <w:rPr>
          <w:rFonts w:hint="eastAsia" w:ascii="宋体" w:hAnsi="宋体" w:cs="宋体"/>
          <w:color w:val="auto"/>
          <w:sz w:val="24"/>
          <w:highlight w:val="none"/>
          <w:lang w:val="en-US" w:eastAsia="zh-CN"/>
        </w:rPr>
        <w:t>省内多家物流企业、当地物流商协会、家具经销商、电商等，了解</w:t>
      </w:r>
      <w:r>
        <w:rPr>
          <w:rFonts w:hint="eastAsia" w:ascii="宋体" w:hAnsi="宋体"/>
          <w:color w:val="auto"/>
          <w:sz w:val="24"/>
          <w:highlight w:val="none"/>
          <w:lang w:val="en-US" w:eastAsia="zh-CN"/>
        </w:rPr>
        <w:t>目前</w:t>
      </w:r>
      <w:r>
        <w:rPr>
          <w:rFonts w:hint="eastAsia" w:ascii="宋体" w:hAnsi="宋体"/>
          <w:color w:val="auto"/>
          <w:sz w:val="24"/>
          <w:highlight w:val="none"/>
        </w:rPr>
        <w:t>家具物流</w:t>
      </w:r>
      <w:r>
        <w:rPr>
          <w:rFonts w:hint="eastAsia" w:ascii="宋体" w:hAnsi="宋体"/>
          <w:color w:val="auto"/>
          <w:sz w:val="24"/>
          <w:highlight w:val="none"/>
          <w:lang w:val="en-US" w:eastAsia="zh-CN"/>
        </w:rPr>
        <w:t>服务</w:t>
      </w:r>
      <w:r>
        <w:rPr>
          <w:rFonts w:hint="eastAsia" w:ascii="宋体" w:hAnsi="宋体"/>
          <w:color w:val="auto"/>
          <w:sz w:val="24"/>
          <w:highlight w:val="none"/>
        </w:rPr>
        <w:t>的</w:t>
      </w:r>
      <w:r>
        <w:rPr>
          <w:rFonts w:hint="eastAsia" w:ascii="宋体" w:hAnsi="宋体"/>
          <w:color w:val="auto"/>
          <w:sz w:val="24"/>
          <w:highlight w:val="none"/>
          <w:lang w:val="en-US" w:eastAsia="zh-CN"/>
        </w:rPr>
        <w:t>发展</w:t>
      </w:r>
      <w:r>
        <w:rPr>
          <w:rFonts w:hint="eastAsia" w:ascii="宋体" w:hAnsi="宋体"/>
          <w:color w:val="auto"/>
          <w:sz w:val="24"/>
          <w:highlight w:val="none"/>
        </w:rPr>
        <w:t>现状</w:t>
      </w:r>
      <w:r>
        <w:rPr>
          <w:rFonts w:hint="eastAsia" w:ascii="宋体" w:hAnsi="宋体"/>
          <w:color w:val="auto"/>
          <w:sz w:val="24"/>
          <w:highlight w:val="none"/>
          <w:lang w:val="en-US" w:eastAsia="zh-CN"/>
        </w:rPr>
        <w:t>及家具经销商、电商等上游客户对家具物流服务质量的需求及迫切需要解决的矛盾、纠纷等问题，初步对</w:t>
      </w:r>
      <w:r>
        <w:rPr>
          <w:rFonts w:hint="eastAsia" w:ascii="宋体" w:hAnsi="宋体"/>
          <w:color w:val="auto"/>
          <w:sz w:val="24"/>
          <w:highlight w:val="none"/>
        </w:rPr>
        <w:t>对标准的定位和所要解决的问题</w:t>
      </w:r>
      <w:r>
        <w:rPr>
          <w:rFonts w:hint="eastAsia" w:ascii="宋体" w:hAnsi="宋体"/>
          <w:color w:val="auto"/>
          <w:sz w:val="24"/>
          <w:highlight w:val="none"/>
          <w:lang w:eastAsia="zh-CN"/>
        </w:rPr>
        <w:t>进行了</w:t>
      </w:r>
      <w:r>
        <w:rPr>
          <w:rFonts w:hint="eastAsia" w:ascii="宋体" w:hAnsi="宋体"/>
          <w:color w:val="auto"/>
          <w:sz w:val="24"/>
          <w:highlight w:val="none"/>
        </w:rPr>
        <w:t>界定</w:t>
      </w:r>
      <w:r>
        <w:rPr>
          <w:rFonts w:hint="eastAsia" w:ascii="宋体" w:hAnsi="宋体"/>
          <w:color w:val="auto"/>
          <w:sz w:val="24"/>
          <w:highlight w:val="none"/>
          <w:lang w:eastAsia="zh-CN"/>
        </w:rPr>
        <w:t>，</w:t>
      </w:r>
      <w:r>
        <w:rPr>
          <w:rFonts w:hint="eastAsia"/>
          <w:color w:val="auto"/>
          <w:sz w:val="24"/>
          <w:szCs w:val="24"/>
          <w:highlight w:val="none"/>
          <w:shd w:val="clear" w:color="auto" w:fill="FFFFFF"/>
        </w:rPr>
        <w:t>形成</w:t>
      </w:r>
      <w:r>
        <w:rPr>
          <w:rFonts w:hint="eastAsia"/>
          <w:color w:val="auto"/>
          <w:sz w:val="24"/>
          <w:szCs w:val="24"/>
          <w:highlight w:val="none"/>
          <w:shd w:val="clear" w:color="auto" w:fill="FFFFFF"/>
          <w:lang w:val="en-US" w:eastAsia="zh-CN"/>
        </w:rPr>
        <w:t>了</w:t>
      </w:r>
      <w:r>
        <w:rPr>
          <w:rFonts w:hint="eastAsia"/>
          <w:color w:val="auto"/>
          <w:sz w:val="24"/>
          <w:szCs w:val="24"/>
          <w:highlight w:val="none"/>
          <w:shd w:val="clear" w:color="auto" w:fill="FFFFFF"/>
        </w:rPr>
        <w:t>标准制定思路</w:t>
      </w:r>
      <w:r>
        <w:rPr>
          <w:rFonts w:hint="eastAsia"/>
          <w:color w:val="auto"/>
          <w:sz w:val="24"/>
          <w:szCs w:val="24"/>
          <w:highlight w:val="none"/>
          <w:shd w:val="clear" w:color="auto" w:fill="FFFFFF"/>
          <w:lang w:eastAsia="zh-CN"/>
        </w:rPr>
        <w:t>，</w:t>
      </w:r>
      <w:r>
        <w:rPr>
          <w:rFonts w:hint="eastAsia" w:ascii="宋体" w:hAnsi="宋体"/>
          <w:color w:val="auto"/>
          <w:sz w:val="24"/>
          <w:highlight w:val="none"/>
          <w:lang w:val="en-US" w:eastAsia="zh-CN"/>
        </w:rPr>
        <w:t>编制了《家具物流服务质量规范》第二稿</w:t>
      </w:r>
      <w:r>
        <w:rPr>
          <w:rFonts w:hint="eastAsia"/>
          <w:color w:val="auto"/>
          <w:sz w:val="24"/>
          <w:szCs w:val="24"/>
          <w:highlight w:val="none"/>
          <w:shd w:val="clear" w:color="auto" w:fill="FFFFFF"/>
          <w:lang w:eastAsia="zh-CN"/>
        </w:rPr>
        <w:t>。</w:t>
      </w:r>
    </w:p>
    <w:p>
      <w:pPr>
        <w:spacing w:line="360" w:lineRule="auto"/>
        <w:ind w:left="2" w:leftChars="1" w:firstLine="480" w:firstLineChars="200"/>
        <w:rPr>
          <w:rFonts w:hint="eastAsia" w:ascii="ˎ̥" w:hAnsi="ˎ̥"/>
          <w:color w:val="auto"/>
          <w:sz w:val="24"/>
          <w:highlight w:val="none"/>
        </w:rPr>
      </w:pP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月至</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期间</w:t>
      </w:r>
      <w:r>
        <w:rPr>
          <w:rFonts w:hint="eastAsia" w:ascii="宋体" w:hAnsi="宋体" w:cs="宋体"/>
          <w:color w:val="auto"/>
          <w:sz w:val="24"/>
          <w:highlight w:val="none"/>
        </w:rPr>
        <w:t>，标准起草小组</w:t>
      </w:r>
      <w:r>
        <w:rPr>
          <w:rFonts w:hint="eastAsia" w:ascii="宋体" w:hAnsi="宋体" w:cs="宋体"/>
          <w:color w:val="auto"/>
          <w:sz w:val="24"/>
          <w:highlight w:val="none"/>
          <w:lang w:eastAsia="zh-CN"/>
        </w:rPr>
        <w:t>多次组织物流</w:t>
      </w:r>
      <w:r>
        <w:rPr>
          <w:rFonts w:hint="eastAsia" w:ascii="宋体" w:hAnsi="宋体" w:cs="宋体"/>
          <w:color w:val="auto"/>
          <w:sz w:val="24"/>
          <w:highlight w:val="none"/>
          <w:lang w:val="en-US" w:eastAsia="zh-CN"/>
        </w:rPr>
        <w:t>企业</w:t>
      </w:r>
      <w:r>
        <w:rPr>
          <w:rFonts w:hint="eastAsia" w:ascii="宋体" w:hAnsi="宋体" w:cs="宋体"/>
          <w:color w:val="auto"/>
          <w:sz w:val="24"/>
          <w:highlight w:val="none"/>
          <w:lang w:eastAsia="zh-CN"/>
        </w:rPr>
        <w:t>、家具经销商、</w:t>
      </w:r>
      <w:r>
        <w:rPr>
          <w:rFonts w:hint="eastAsia" w:ascii="宋体" w:hAnsi="宋体" w:cs="宋体"/>
          <w:color w:val="auto"/>
          <w:sz w:val="24"/>
          <w:highlight w:val="none"/>
          <w:lang w:val="en-US" w:eastAsia="zh-CN"/>
        </w:rPr>
        <w:t>电商、物流行业商协会及标准化技术机构</w:t>
      </w:r>
      <w:r>
        <w:rPr>
          <w:rFonts w:hint="eastAsia" w:ascii="宋体" w:hAnsi="宋体" w:cs="宋体"/>
          <w:color w:val="auto"/>
          <w:sz w:val="24"/>
          <w:highlight w:val="none"/>
          <w:lang w:eastAsia="zh-CN"/>
        </w:rPr>
        <w:t>等企业，就标准的</w:t>
      </w:r>
      <w:r>
        <w:rPr>
          <w:rFonts w:hint="eastAsia"/>
          <w:color w:val="auto"/>
          <w:sz w:val="24"/>
          <w:szCs w:val="24"/>
          <w:highlight w:val="none"/>
          <w:shd w:val="clear" w:color="auto" w:fill="FFFFFF"/>
          <w:lang w:eastAsia="zh-CN"/>
        </w:rPr>
        <w:t>框架、</w:t>
      </w:r>
      <w:r>
        <w:rPr>
          <w:rFonts w:hint="eastAsia"/>
          <w:color w:val="auto"/>
          <w:sz w:val="24"/>
          <w:szCs w:val="24"/>
          <w:highlight w:val="none"/>
          <w:shd w:val="clear" w:color="auto" w:fill="FFFFFF"/>
          <w:lang w:val="en-US" w:eastAsia="zh-CN"/>
        </w:rPr>
        <w:t>基本</w:t>
      </w:r>
      <w:r>
        <w:rPr>
          <w:rFonts w:hint="eastAsia"/>
          <w:color w:val="auto"/>
          <w:sz w:val="24"/>
          <w:szCs w:val="24"/>
          <w:highlight w:val="none"/>
          <w:shd w:val="clear" w:color="auto" w:fill="FFFFFF"/>
          <w:lang w:eastAsia="zh-CN"/>
        </w:rPr>
        <w:t>内容</w:t>
      </w:r>
      <w:r>
        <w:rPr>
          <w:rFonts w:hint="eastAsia"/>
          <w:color w:val="auto"/>
          <w:sz w:val="24"/>
          <w:szCs w:val="24"/>
          <w:highlight w:val="none"/>
          <w:shd w:val="clear" w:color="auto" w:fill="FFFFFF"/>
          <w:lang w:val="en-US" w:eastAsia="zh-CN"/>
        </w:rPr>
        <w:t>及服务质量</w:t>
      </w:r>
      <w:r>
        <w:rPr>
          <w:rFonts w:hint="eastAsia"/>
          <w:color w:val="auto"/>
          <w:sz w:val="24"/>
          <w:szCs w:val="24"/>
          <w:highlight w:val="none"/>
          <w:shd w:val="clear" w:color="auto" w:fill="FFFFFF"/>
          <w:lang w:eastAsia="zh-CN"/>
        </w:rPr>
        <w:t>评价指标</w:t>
      </w:r>
      <w:r>
        <w:rPr>
          <w:color w:val="auto"/>
          <w:sz w:val="24"/>
          <w:szCs w:val="24"/>
          <w:highlight w:val="none"/>
          <w:shd w:val="clear" w:color="auto" w:fill="FFFFFF"/>
        </w:rPr>
        <w:t>等关键</w:t>
      </w:r>
      <w:r>
        <w:rPr>
          <w:rFonts w:hint="eastAsia"/>
          <w:color w:val="auto"/>
          <w:sz w:val="24"/>
          <w:szCs w:val="24"/>
          <w:highlight w:val="none"/>
          <w:shd w:val="clear" w:color="auto" w:fill="FFFFFF"/>
        </w:rPr>
        <w:t>问题</w:t>
      </w:r>
      <w:r>
        <w:rPr>
          <w:rFonts w:hint="eastAsia"/>
          <w:color w:val="auto"/>
          <w:sz w:val="24"/>
          <w:szCs w:val="24"/>
          <w:highlight w:val="none"/>
          <w:shd w:val="clear" w:color="auto" w:fill="FFFFFF"/>
          <w:lang w:eastAsia="zh-CN"/>
        </w:rPr>
        <w:t>进行讨论，</w:t>
      </w:r>
      <w:r>
        <w:rPr>
          <w:rFonts w:hint="eastAsia"/>
          <w:color w:val="auto"/>
          <w:sz w:val="24"/>
          <w:szCs w:val="24"/>
          <w:highlight w:val="none"/>
          <w:shd w:val="clear" w:color="auto" w:fill="FFFFFF"/>
          <w:lang w:val="en-US" w:eastAsia="zh-CN"/>
        </w:rPr>
        <w:t>听取相关方的意见和建议，对标准第二稿中各服务流程中的具体操作进行简约化，给出了指导性的基本流程及需满足的基本要求，</w:t>
      </w:r>
      <w:r>
        <w:rPr>
          <w:rFonts w:hint="eastAsia"/>
          <w:color w:val="auto"/>
          <w:sz w:val="24"/>
          <w:szCs w:val="24"/>
          <w:highlight w:val="none"/>
          <w:shd w:val="clear" w:color="auto" w:fill="FFFFFF"/>
          <w:lang w:eastAsia="zh-CN"/>
        </w:rPr>
        <w:t>形成标准</w:t>
      </w:r>
      <w:r>
        <w:rPr>
          <w:rFonts w:hint="eastAsia"/>
          <w:color w:val="auto"/>
          <w:sz w:val="24"/>
          <w:szCs w:val="24"/>
          <w:highlight w:val="none"/>
          <w:shd w:val="clear" w:color="auto" w:fill="FFFFFF"/>
          <w:lang w:val="en-US" w:eastAsia="zh-CN"/>
        </w:rPr>
        <w:t>第三</w:t>
      </w:r>
      <w:r>
        <w:rPr>
          <w:rFonts w:hint="eastAsia"/>
          <w:color w:val="auto"/>
          <w:sz w:val="24"/>
          <w:szCs w:val="24"/>
          <w:highlight w:val="none"/>
          <w:shd w:val="clear" w:color="auto" w:fill="FFFFFF"/>
          <w:lang w:eastAsia="zh-CN"/>
        </w:rPr>
        <w:t>稿。</w:t>
      </w:r>
    </w:p>
    <w:p>
      <w:pPr>
        <w:spacing w:line="360" w:lineRule="auto"/>
        <w:ind w:left="2" w:leftChars="1"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2017</w:t>
      </w:r>
      <w:r>
        <w:rPr>
          <w:rFonts w:hint="eastAsia" w:ascii="宋体" w:hAnsi="宋体"/>
          <w:color w:val="auto"/>
          <w:sz w:val="24"/>
          <w:highlight w:val="none"/>
        </w:rPr>
        <w:t>年</w:t>
      </w:r>
      <w:r>
        <w:rPr>
          <w:rFonts w:hint="eastAsia" w:ascii="宋体" w:hAnsi="宋体"/>
          <w:color w:val="auto"/>
          <w:sz w:val="24"/>
          <w:highlight w:val="none"/>
          <w:lang w:val="en-US" w:eastAsia="zh-CN"/>
        </w:rPr>
        <w:t>6月至7月</w:t>
      </w:r>
      <w:r>
        <w:rPr>
          <w:rFonts w:hint="eastAsia" w:ascii="宋体" w:hAnsi="宋体"/>
          <w:color w:val="auto"/>
          <w:sz w:val="24"/>
          <w:highlight w:val="none"/>
        </w:rPr>
        <w:t>，标准起草小组</w:t>
      </w:r>
      <w:r>
        <w:rPr>
          <w:rFonts w:hint="eastAsia" w:ascii="宋体" w:hAnsi="宋体"/>
          <w:color w:val="auto"/>
          <w:sz w:val="24"/>
          <w:highlight w:val="none"/>
          <w:lang w:val="en-US" w:eastAsia="zh-CN"/>
        </w:rPr>
        <w:t>先后到四川成都、山东周村、江西南康开展行业调研，并</w:t>
      </w:r>
      <w:r>
        <w:rPr>
          <w:rFonts w:hint="eastAsia" w:ascii="宋体" w:hAnsi="宋体"/>
          <w:color w:val="auto"/>
          <w:sz w:val="24"/>
          <w:highlight w:val="none"/>
        </w:rPr>
        <w:t>邀请</w:t>
      </w:r>
      <w:r>
        <w:rPr>
          <w:rFonts w:hint="eastAsia" w:ascii="宋体" w:hAnsi="宋体"/>
          <w:color w:val="auto"/>
          <w:sz w:val="24"/>
          <w:highlight w:val="none"/>
          <w:lang w:eastAsia="zh-CN"/>
        </w:rPr>
        <w:t>当地具有一定规模的家具物流</w:t>
      </w:r>
      <w:r>
        <w:rPr>
          <w:rFonts w:hint="eastAsia" w:ascii="宋体" w:hAnsi="宋体"/>
          <w:color w:val="auto"/>
          <w:sz w:val="24"/>
          <w:highlight w:val="none"/>
        </w:rPr>
        <w:t>企业</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家具经销商及当地有关政府部门领导开展标准研讨</w:t>
      </w:r>
      <w:r>
        <w:rPr>
          <w:rFonts w:hint="eastAsia" w:ascii="宋体" w:hAnsi="宋体"/>
          <w:color w:val="auto"/>
          <w:sz w:val="24"/>
          <w:highlight w:val="none"/>
        </w:rPr>
        <w:t>。</w:t>
      </w:r>
      <w:r>
        <w:rPr>
          <w:rFonts w:hint="eastAsia" w:ascii="宋体" w:hAnsi="宋体"/>
          <w:color w:val="auto"/>
          <w:sz w:val="24"/>
          <w:highlight w:val="none"/>
          <w:lang w:val="en-US" w:eastAsia="zh-CN"/>
        </w:rPr>
        <w:t>其中：</w:t>
      </w:r>
    </w:p>
    <w:p>
      <w:pPr>
        <w:spacing w:line="360" w:lineRule="auto"/>
        <w:ind w:left="2" w:leftChars="1" w:firstLine="480" w:firstLineChars="200"/>
        <w:rPr>
          <w:rFonts w:hint="eastAsia" w:ascii="宋体" w:hAnsi="宋体" w:cs="宋体"/>
          <w:color w:val="auto"/>
          <w:sz w:val="24"/>
          <w:highlight w:val="none"/>
          <w:lang w:val="en-US" w:eastAsia="zh-CN"/>
        </w:rPr>
      </w:pPr>
      <w:r>
        <w:rPr>
          <w:rFonts w:hint="eastAsia" w:ascii="宋体" w:hAnsi="宋体"/>
          <w:color w:val="auto"/>
          <w:sz w:val="24"/>
          <w:highlight w:val="none"/>
          <w:lang w:val="en-US" w:eastAsia="zh-CN"/>
        </w:rPr>
        <w:t>在四川成都，标准起草小组先后走访了</w:t>
      </w:r>
      <w:r>
        <w:rPr>
          <w:rFonts w:hint="eastAsia" w:ascii="宋体" w:hAnsi="宋体" w:cs="宋体"/>
          <w:color w:val="auto"/>
          <w:sz w:val="24"/>
          <w:highlight w:val="none"/>
          <w:lang w:val="en-US" w:eastAsia="zh-CN"/>
        </w:rPr>
        <w:t>成都居家通物流有限责任公司、四川全职达供应链管理有限公司、亿航物流有限公司、四川盛世前程物流有限公司、成都长兴物流有限公司、四川红徳物流、成都三志物流有限公司、成都鑫晟通物流、湖南诚意物流、万众物流、神鹰物流、新命运电商、合诚家居、正佳物流</w:t>
      </w:r>
      <w:r>
        <w:rPr>
          <w:rFonts w:hint="eastAsia" w:ascii="宋体" w:hAnsi="宋体" w:cs="宋体"/>
          <w:color w:val="auto"/>
          <w:sz w:val="24"/>
          <w:highlight w:val="none"/>
        </w:rPr>
        <w:t>等</w:t>
      </w:r>
      <w:r>
        <w:rPr>
          <w:rFonts w:hint="eastAsia" w:ascii="宋体" w:hAnsi="宋体" w:cs="宋体"/>
          <w:color w:val="auto"/>
          <w:sz w:val="24"/>
          <w:highlight w:val="none"/>
          <w:lang w:val="en-US" w:eastAsia="zh-CN"/>
        </w:rPr>
        <w:t>当地多家物流企业，并在居家通物流公司召开了标准研讨会，会上各企业代表重点对家具物流服务质量评价指标值提出了各自的看法及修改意见。</w:t>
      </w:r>
    </w:p>
    <w:p>
      <w:pPr>
        <w:spacing w:line="360" w:lineRule="auto"/>
        <w:ind w:left="2" w:leftChars="1"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在山东周村，标准起草小组先后走访了山东万众供应链管理有限公司、淄博锦华物流有限公司、淄博金弟物流有限公司、淄博万佳兆华家具有限公司等多家企业，并在山东万众供应链管理有限公司召开了研讨会，会上还邀请了周村区服务业发展办公室主任、周村区经侦大队队长及周村家具市场工商所所长参与研讨，会上各企业代表及地方有关部门领导对标准编制的内容及未来在行业管理上发挥的作用与效益提出了各自的看法与建议。</w:t>
      </w:r>
    </w:p>
    <w:p>
      <w:pPr>
        <w:spacing w:line="360" w:lineRule="auto"/>
        <w:ind w:left="2" w:leftChars="1"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在江西南康，标准起草小组在南康九州国际酒店召开了标准研讨会，会上邀请了当地20多家物流企业代表参与。会上企业提出了部分评价指标难统计、客户不常关注或容易产生歧义，并给出了修改的建议。</w:t>
      </w:r>
    </w:p>
    <w:p>
      <w:pPr>
        <w:spacing w:line="360" w:lineRule="auto"/>
        <w:ind w:left="2" w:leftChars="1" w:firstLine="480" w:firstLineChars="200"/>
        <w:rPr>
          <w:rFonts w:hint="eastAsia" w:ascii="宋体" w:hAnsi="宋体"/>
          <w:color w:val="auto"/>
          <w:sz w:val="24"/>
          <w:highlight w:val="none"/>
          <w:lang w:val="en-US" w:eastAsia="zh-CN"/>
        </w:rPr>
      </w:pPr>
      <w:r>
        <w:rPr>
          <w:rFonts w:hint="eastAsia" w:ascii="宋体" w:hAnsi="宋体" w:cs="宋体"/>
          <w:color w:val="auto"/>
          <w:sz w:val="24"/>
          <w:highlight w:val="none"/>
        </w:rPr>
        <w:t>根据</w:t>
      </w:r>
      <w:r>
        <w:rPr>
          <w:rFonts w:hint="eastAsia" w:ascii="宋体" w:hAnsi="宋体" w:cs="宋体"/>
          <w:color w:val="auto"/>
          <w:sz w:val="24"/>
          <w:highlight w:val="none"/>
          <w:lang w:val="en-US" w:eastAsia="zh-CN"/>
        </w:rPr>
        <w:t>成都、周村、南康三场</w:t>
      </w:r>
      <w:r>
        <w:rPr>
          <w:rFonts w:hint="eastAsia" w:ascii="宋体" w:hAnsi="宋体" w:cs="宋体"/>
          <w:color w:val="auto"/>
          <w:sz w:val="24"/>
          <w:highlight w:val="none"/>
        </w:rPr>
        <w:t>研讨会上</w:t>
      </w:r>
      <w:r>
        <w:rPr>
          <w:rFonts w:hint="eastAsia" w:ascii="宋体" w:hAnsi="宋体" w:cs="宋体"/>
          <w:color w:val="auto"/>
          <w:sz w:val="24"/>
          <w:highlight w:val="none"/>
          <w:lang w:val="en-US" w:eastAsia="zh-CN"/>
        </w:rPr>
        <w:t>企业及</w:t>
      </w:r>
      <w:r>
        <w:rPr>
          <w:rFonts w:hint="eastAsia" w:ascii="宋体" w:hAnsi="宋体" w:cs="宋体"/>
          <w:color w:val="auto"/>
          <w:sz w:val="24"/>
          <w:highlight w:val="none"/>
        </w:rPr>
        <w:t>专家</w:t>
      </w:r>
      <w:r>
        <w:rPr>
          <w:rFonts w:hint="eastAsia" w:ascii="宋体" w:hAnsi="宋体" w:cs="宋体"/>
          <w:color w:val="auto"/>
          <w:sz w:val="24"/>
          <w:highlight w:val="none"/>
          <w:lang w:val="en-US" w:eastAsia="zh-CN"/>
        </w:rPr>
        <w:t>提出的</w:t>
      </w:r>
      <w:r>
        <w:rPr>
          <w:rFonts w:hint="eastAsia" w:ascii="宋体" w:hAnsi="宋体" w:cs="宋体"/>
          <w:color w:val="auto"/>
          <w:sz w:val="24"/>
          <w:highlight w:val="none"/>
        </w:rPr>
        <w:t>意见</w:t>
      </w:r>
      <w:r>
        <w:rPr>
          <w:rFonts w:hint="eastAsia" w:ascii="宋体" w:hAnsi="宋体" w:cs="宋体"/>
          <w:color w:val="auto"/>
          <w:sz w:val="24"/>
          <w:highlight w:val="none"/>
          <w:lang w:val="en-US" w:eastAsia="zh-CN"/>
        </w:rPr>
        <w:t>和</w:t>
      </w:r>
      <w:r>
        <w:rPr>
          <w:rFonts w:hint="eastAsia" w:ascii="宋体" w:hAnsi="宋体" w:cs="宋体"/>
          <w:color w:val="auto"/>
          <w:sz w:val="24"/>
          <w:highlight w:val="none"/>
        </w:rPr>
        <w:t>建议，</w:t>
      </w:r>
      <w:r>
        <w:rPr>
          <w:rFonts w:hint="eastAsia" w:ascii="宋体" w:hAnsi="宋体" w:cs="宋体"/>
          <w:color w:val="auto"/>
          <w:sz w:val="24"/>
          <w:highlight w:val="none"/>
          <w:lang w:val="en-US" w:eastAsia="zh-CN"/>
        </w:rPr>
        <w:t>标准起草小组随即召开内部讨论，</w:t>
      </w:r>
      <w:r>
        <w:rPr>
          <w:rFonts w:hint="eastAsia" w:ascii="宋体" w:hAnsi="宋体"/>
          <w:color w:val="auto"/>
          <w:sz w:val="24"/>
          <w:highlight w:val="none"/>
        </w:rPr>
        <w:t>经过仔细认真的斟酌、</w:t>
      </w:r>
      <w:r>
        <w:rPr>
          <w:rFonts w:hint="eastAsia" w:ascii="宋体" w:hAnsi="宋体"/>
          <w:color w:val="auto"/>
          <w:sz w:val="24"/>
          <w:highlight w:val="none"/>
          <w:lang w:eastAsia="zh-CN"/>
        </w:rPr>
        <w:t>讨论</w:t>
      </w:r>
      <w:r>
        <w:rPr>
          <w:rFonts w:hint="eastAsia" w:ascii="宋体" w:hAnsi="宋体"/>
          <w:color w:val="auto"/>
          <w:sz w:val="24"/>
          <w:highlight w:val="none"/>
        </w:rPr>
        <w:t>，从</w:t>
      </w:r>
      <w:r>
        <w:rPr>
          <w:rFonts w:hint="eastAsia" w:ascii="宋体" w:hAnsi="宋体"/>
          <w:color w:val="auto"/>
          <w:sz w:val="24"/>
          <w:highlight w:val="none"/>
          <w:lang w:eastAsia="zh-CN"/>
        </w:rPr>
        <w:t>标准</w:t>
      </w:r>
      <w:r>
        <w:rPr>
          <w:rFonts w:hint="eastAsia" w:ascii="宋体" w:hAnsi="宋体"/>
          <w:color w:val="auto"/>
          <w:sz w:val="24"/>
          <w:highlight w:val="none"/>
        </w:rPr>
        <w:t>完整性、准确性、可操作性等方面</w:t>
      </w:r>
      <w:r>
        <w:rPr>
          <w:rFonts w:hint="eastAsia" w:ascii="宋体" w:hAnsi="宋体"/>
          <w:color w:val="auto"/>
          <w:sz w:val="24"/>
          <w:highlight w:val="none"/>
          <w:lang w:eastAsia="zh-CN"/>
        </w:rPr>
        <w:t>逐字逐句修改</w:t>
      </w:r>
      <w:r>
        <w:rPr>
          <w:rFonts w:hint="eastAsia" w:ascii="宋体" w:hAnsi="宋体"/>
          <w:color w:val="auto"/>
          <w:sz w:val="24"/>
          <w:highlight w:val="none"/>
        </w:rPr>
        <w:t>标准内容</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并</w:t>
      </w:r>
      <w:r>
        <w:rPr>
          <w:rFonts w:hint="eastAsia" w:ascii="宋体" w:hAnsi="宋体" w:cs="宋体"/>
          <w:color w:val="auto"/>
          <w:sz w:val="24"/>
          <w:highlight w:val="none"/>
        </w:rPr>
        <w:t>进一步梳理和完善了</w:t>
      </w:r>
      <w:r>
        <w:rPr>
          <w:rFonts w:hint="eastAsia" w:ascii="宋体" w:hAnsi="宋体" w:cs="宋体"/>
          <w:color w:val="auto"/>
          <w:sz w:val="24"/>
          <w:highlight w:val="none"/>
          <w:lang w:val="en-US" w:eastAsia="zh-CN"/>
        </w:rPr>
        <w:t>家具物流服务</w:t>
      </w:r>
      <w:r>
        <w:rPr>
          <w:rFonts w:hint="eastAsia" w:ascii="宋体" w:hAnsi="宋体" w:cs="宋体"/>
          <w:color w:val="auto"/>
          <w:sz w:val="24"/>
          <w:highlight w:val="none"/>
        </w:rPr>
        <w:t>质量考核指标，对指标值进行了调整，使其处于合理的范围内</w:t>
      </w:r>
      <w:r>
        <w:rPr>
          <w:rFonts w:hint="eastAsia" w:ascii="宋体" w:hAnsi="宋体" w:cs="宋体"/>
          <w:color w:val="auto"/>
          <w:sz w:val="24"/>
          <w:highlight w:val="none"/>
          <w:lang w:eastAsia="zh-CN"/>
        </w:rPr>
        <w:t>。</w:t>
      </w:r>
    </w:p>
    <w:p>
      <w:pPr>
        <w:spacing w:line="360" w:lineRule="auto"/>
        <w:ind w:left="2" w:leftChars="1" w:firstLine="480" w:firstLineChars="200"/>
        <w:rPr>
          <w:rFonts w:hint="eastAsia" w:ascii="宋体" w:hAnsi="宋体"/>
          <w:color w:val="auto"/>
          <w:sz w:val="24"/>
          <w:highlight w:val="none"/>
          <w:lang w:val="en-US" w:eastAsia="zh-CN"/>
        </w:rPr>
      </w:pPr>
      <w:r>
        <w:rPr>
          <w:rFonts w:hint="eastAsia" w:ascii="宋体" w:hAnsi="宋体" w:cs="宋体"/>
          <w:color w:val="auto"/>
          <w:sz w:val="24"/>
          <w:highlight w:val="none"/>
          <w:lang w:val="en-US" w:eastAsia="zh-CN"/>
        </w:rPr>
        <w:t>2017年8月8日，标准起草小组在顺德乐从再次组织了标准研讨会。会上邀请了</w:t>
      </w:r>
      <w:r>
        <w:rPr>
          <w:rFonts w:hint="eastAsia" w:ascii="宋体" w:hAnsi="宋体"/>
          <w:color w:val="auto"/>
          <w:sz w:val="24"/>
          <w:highlight w:val="none"/>
          <w:lang w:val="en-US" w:eastAsia="zh-CN"/>
        </w:rPr>
        <w:t>中国物流与采购联合会专家委员会主任戴定一、中国物流与采购联合会标准部副主任衣薇、运联传媒董事长褚方鸿、北京交通大学经济管理学院教授兰洪杰、中国科学院广州技术转移中心顺德基地站长冯国义、顺德区质量技术监督局标准化科副科长王蕾、乐从镇环境和运输管理局副局长曾超健、广东省佛山市质量技术监督标准与编码所副所长龚悦、佛山市质量和标准化研究院标准技术部部长杨柳慧，及当地物流企业、家具经销商、电商、行业商协会等共60多位专家和企业代表参与。会上各专家及企业代表针对标准内容逐字逐句进行了讨论，并提出了修改意见。会后，标准起草小组按照专家及企业代表提出的意见，对标准进行修改，形成标准征求意见稿。</w:t>
      </w:r>
    </w:p>
    <w:p>
      <w:pPr>
        <w:spacing w:before="100" w:beforeAutospacing="1" w:line="360" w:lineRule="auto"/>
        <w:ind w:firstLine="482" w:firstLineChars="200"/>
        <w:jc w:val="left"/>
        <w:rPr>
          <w:rFonts w:hint="eastAsia" w:ascii="宋体" w:hAnsi="宋体"/>
          <w:b/>
          <w:color w:val="auto"/>
          <w:kern w:val="0"/>
          <w:sz w:val="24"/>
          <w:highlight w:val="none"/>
          <w:lang w:val="en-US" w:eastAsia="zh-CN"/>
        </w:rPr>
      </w:pPr>
      <w:r>
        <w:rPr>
          <w:rFonts w:hint="eastAsia" w:ascii="宋体" w:hAnsi="宋体"/>
          <w:b/>
          <w:color w:val="auto"/>
          <w:kern w:val="0"/>
          <w:sz w:val="24"/>
          <w:highlight w:val="none"/>
          <w:lang w:val="en-US" w:eastAsia="zh-CN"/>
        </w:rPr>
        <w:t>2  标准编制的目的和意义</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2.1  标准编制的目的</w:t>
      </w:r>
    </w:p>
    <w:p>
      <w:pPr>
        <w:spacing w:line="360" w:lineRule="auto"/>
        <w:ind w:firstLine="480" w:firstLineChars="200"/>
        <w:rPr>
          <w:rFonts w:hint="eastAsia" w:ascii="宋体" w:hAnsi="Times New Roman" w:eastAsia="宋体" w:cs="Times New Roman"/>
          <w:color w:val="auto"/>
          <w:kern w:val="0"/>
          <w:sz w:val="24"/>
          <w:szCs w:val="24"/>
          <w:highlight w:val="none"/>
          <w:lang w:val="en-US" w:eastAsia="zh-CN" w:bidi="ar-SA"/>
        </w:rPr>
      </w:pPr>
      <w:r>
        <w:rPr>
          <w:rFonts w:hint="eastAsia"/>
          <w:color w:val="auto"/>
          <w:sz w:val="24"/>
          <w:szCs w:val="24"/>
          <w:highlight w:val="none"/>
        </w:rPr>
        <w:t>统计数据显示，目前我国家具产能占据了全球的25%，已成为世界上名副其实的家具制造第一大国。在中国家具业迅猛发展的同时，</w:t>
      </w:r>
      <w:r>
        <w:rPr>
          <w:rFonts w:hint="eastAsia"/>
          <w:color w:val="auto"/>
          <w:sz w:val="24"/>
          <w:szCs w:val="24"/>
          <w:highlight w:val="none"/>
          <w:lang w:eastAsia="zh-CN"/>
        </w:rPr>
        <w:t>家具物流</w:t>
      </w:r>
      <w:r>
        <w:rPr>
          <w:rFonts w:hint="eastAsia"/>
          <w:color w:val="auto"/>
          <w:sz w:val="24"/>
          <w:szCs w:val="24"/>
          <w:highlight w:val="none"/>
        </w:rPr>
        <w:t>作为家具</w:t>
      </w:r>
      <w:r>
        <w:rPr>
          <w:rFonts w:hint="eastAsia"/>
          <w:color w:val="auto"/>
          <w:sz w:val="24"/>
          <w:szCs w:val="24"/>
          <w:highlight w:val="none"/>
          <w:lang w:eastAsia="zh-CN"/>
        </w:rPr>
        <w:t>流通行业</w:t>
      </w:r>
      <w:r>
        <w:rPr>
          <w:rFonts w:hint="eastAsia"/>
          <w:color w:val="auto"/>
          <w:sz w:val="24"/>
          <w:szCs w:val="24"/>
          <w:highlight w:val="none"/>
        </w:rPr>
        <w:t>中的重要环节，扮演着越来越重要的角色。由于家具产品特性以大件居多，配载率低，仅为1/3，空间浪费很大；且由于家具材质的原因，在</w:t>
      </w:r>
      <w:r>
        <w:rPr>
          <w:rFonts w:hint="eastAsia"/>
          <w:color w:val="auto"/>
          <w:sz w:val="24"/>
          <w:szCs w:val="24"/>
          <w:highlight w:val="none"/>
          <w:lang w:eastAsia="zh-CN"/>
        </w:rPr>
        <w:t>物流</w:t>
      </w:r>
      <w:r>
        <w:rPr>
          <w:rFonts w:hint="eastAsia"/>
          <w:color w:val="auto"/>
          <w:sz w:val="24"/>
          <w:szCs w:val="24"/>
          <w:highlight w:val="none"/>
        </w:rPr>
        <w:t>过程中</w:t>
      </w:r>
      <w:r>
        <w:rPr>
          <w:rFonts w:hint="eastAsia"/>
          <w:color w:val="auto"/>
          <w:sz w:val="24"/>
          <w:szCs w:val="24"/>
          <w:highlight w:val="none"/>
          <w:lang w:eastAsia="zh-CN"/>
        </w:rPr>
        <w:t>会因包装不规范</w:t>
      </w:r>
      <w:r>
        <w:rPr>
          <w:rFonts w:hint="eastAsia"/>
          <w:color w:val="auto"/>
          <w:sz w:val="24"/>
          <w:szCs w:val="24"/>
          <w:highlight w:val="none"/>
        </w:rPr>
        <w:t>导致破损或油漆脱落；加上家具物流服务地域分散、及时性要求高、需提供安装服务、专线运输等特点，这对家具物流服务提出了特殊的要求</w:t>
      </w:r>
      <w:r>
        <w:rPr>
          <w:rFonts w:hint="eastAsia"/>
          <w:color w:val="auto"/>
          <w:sz w:val="24"/>
          <w:szCs w:val="24"/>
          <w:highlight w:val="none"/>
          <w:lang w:eastAsia="zh-CN"/>
        </w:rPr>
        <w:t>，</w:t>
      </w:r>
      <w:r>
        <w:rPr>
          <w:rFonts w:hint="eastAsia"/>
          <w:color w:val="auto"/>
          <w:sz w:val="24"/>
          <w:szCs w:val="24"/>
          <w:highlight w:val="none"/>
        </w:rPr>
        <w:t>特别是随着电子商务的快速发展，家具物流的概念从内涵到外延都发生了本质性的改变，进入了一个全新阶段，家具</w:t>
      </w:r>
      <w:r>
        <w:rPr>
          <w:rFonts w:hint="eastAsia"/>
          <w:color w:val="auto"/>
          <w:sz w:val="24"/>
          <w:szCs w:val="24"/>
          <w:highlight w:val="none"/>
          <w:lang w:eastAsia="zh-CN"/>
        </w:rPr>
        <w:t>物流</w:t>
      </w:r>
      <w:r>
        <w:rPr>
          <w:rFonts w:hint="eastAsia"/>
          <w:color w:val="auto"/>
          <w:sz w:val="24"/>
          <w:szCs w:val="24"/>
          <w:highlight w:val="none"/>
        </w:rPr>
        <w:t>在</w:t>
      </w:r>
      <w:r>
        <w:rPr>
          <w:rFonts w:hint="eastAsia"/>
          <w:color w:val="auto"/>
          <w:sz w:val="24"/>
          <w:szCs w:val="24"/>
          <w:highlight w:val="none"/>
          <w:lang w:eastAsia="zh-CN"/>
        </w:rPr>
        <w:t>服务</w:t>
      </w:r>
      <w:r>
        <w:rPr>
          <w:rFonts w:hint="eastAsia"/>
          <w:color w:val="auto"/>
          <w:sz w:val="24"/>
          <w:szCs w:val="24"/>
          <w:highlight w:val="none"/>
        </w:rPr>
        <w:t>效率和质量上较以往提出了更高的要</w:t>
      </w:r>
      <w:r>
        <w:rPr>
          <w:rFonts w:hint="eastAsia" w:ascii="宋体" w:hAnsi="Times New Roman" w:eastAsia="宋体" w:cs="Times New Roman"/>
          <w:color w:val="auto"/>
          <w:kern w:val="0"/>
          <w:sz w:val="24"/>
          <w:szCs w:val="24"/>
          <w:highlight w:val="none"/>
          <w:lang w:val="en-US" w:eastAsia="zh-CN" w:bidi="ar-SA"/>
        </w:rPr>
        <w:t>求。</w:t>
      </w:r>
    </w:p>
    <w:p>
      <w:pPr>
        <w:spacing w:line="360" w:lineRule="auto"/>
        <w:ind w:firstLine="480" w:firstLineChars="200"/>
        <w:rPr>
          <w:rFonts w:hint="eastAsia"/>
          <w:color w:val="auto"/>
          <w:sz w:val="24"/>
          <w:szCs w:val="24"/>
          <w:highlight w:val="none"/>
          <w:lang w:eastAsia="zh-CN"/>
        </w:rPr>
      </w:pPr>
      <w:r>
        <w:rPr>
          <w:rFonts w:hint="eastAsia"/>
          <w:color w:val="auto"/>
          <w:sz w:val="24"/>
          <w:szCs w:val="24"/>
          <w:highlight w:val="none"/>
          <w:lang w:val="en-US" w:eastAsia="zh-CN"/>
        </w:rPr>
        <w:t>但目前国内家具物流服务还处于初期阶段，缺乏相应的标准来规范市场行为，服务纠纷较多。因此，我们亟需通过标准化的手段，优化和规范家具物流服务行为与质量要求，为解决服务纠纷提供协商和仲裁的依据，减少服务过程中的法律纠纷和由此产生的损失，保护物流服务相关方合法权利，从而进一步规范我国家具物流市场，创造良好的市场竞争环境，引导家具物流行业的健康有序发展具有重要意义。</w:t>
      </w:r>
    </w:p>
    <w:p>
      <w:pPr>
        <w:spacing w:line="360" w:lineRule="auto"/>
        <w:ind w:firstLine="482" w:firstLineChars="200"/>
        <w:rPr>
          <w:rFonts w:hint="eastAsia" w:ascii="宋体" w:hAnsi="宋体"/>
          <w:b/>
          <w:bCs/>
          <w:color w:val="auto"/>
          <w:sz w:val="24"/>
          <w:highlight w:val="none"/>
          <w:lang w:val="en-US" w:eastAsia="zh-CN"/>
        </w:rPr>
      </w:pPr>
      <w:r>
        <w:rPr>
          <w:rFonts w:hint="eastAsia" w:ascii="宋体" w:hAnsi="宋体"/>
          <w:b/>
          <w:bCs/>
          <w:color w:val="auto"/>
          <w:sz w:val="24"/>
          <w:highlight w:val="none"/>
          <w:lang w:val="en-US" w:eastAsia="zh-CN"/>
        </w:rPr>
        <w:t>2.2  标准制定的意义</w:t>
      </w:r>
    </w:p>
    <w:p>
      <w:pPr>
        <w:spacing w:line="360" w:lineRule="auto"/>
        <w:ind w:firstLine="480" w:firstLineChars="200"/>
        <w:rPr>
          <w:rFonts w:hint="eastAsia"/>
          <w:color w:val="auto"/>
          <w:sz w:val="24"/>
          <w:szCs w:val="24"/>
          <w:highlight w:val="none"/>
        </w:rPr>
      </w:pPr>
      <w:r>
        <w:rPr>
          <w:rFonts w:hint="eastAsia"/>
          <w:color w:val="auto"/>
          <w:sz w:val="24"/>
          <w:szCs w:val="24"/>
          <w:highlight w:val="none"/>
          <w:lang w:val="en-US" w:eastAsia="zh-CN"/>
        </w:rPr>
        <w:t xml:space="preserve">2.2.1  </w:t>
      </w:r>
      <w:r>
        <w:rPr>
          <w:rFonts w:hint="eastAsia"/>
          <w:color w:val="auto"/>
          <w:sz w:val="24"/>
          <w:szCs w:val="24"/>
          <w:highlight w:val="none"/>
        </w:rPr>
        <w:t>通过制订《家具物流服务质量规范》</w:t>
      </w:r>
      <w:r>
        <w:rPr>
          <w:rFonts w:hint="eastAsia"/>
          <w:color w:val="auto"/>
          <w:sz w:val="24"/>
          <w:szCs w:val="24"/>
          <w:highlight w:val="none"/>
          <w:lang w:eastAsia="zh-CN"/>
        </w:rPr>
        <w:t>行业标准</w:t>
      </w:r>
      <w:r>
        <w:rPr>
          <w:rFonts w:hint="eastAsia"/>
          <w:color w:val="auto"/>
          <w:sz w:val="24"/>
          <w:szCs w:val="24"/>
          <w:highlight w:val="none"/>
        </w:rPr>
        <w:t>，确定家具物流活动</w:t>
      </w:r>
      <w:r>
        <w:rPr>
          <w:rFonts w:hint="eastAsia"/>
          <w:color w:val="auto"/>
          <w:sz w:val="24"/>
          <w:szCs w:val="24"/>
          <w:highlight w:val="none"/>
          <w:lang w:eastAsia="zh-CN"/>
        </w:rPr>
        <w:t>的服务流程与</w:t>
      </w:r>
      <w:r>
        <w:rPr>
          <w:rFonts w:hint="eastAsia"/>
          <w:color w:val="auto"/>
          <w:sz w:val="24"/>
          <w:szCs w:val="24"/>
          <w:highlight w:val="none"/>
        </w:rPr>
        <w:t>服务</w:t>
      </w:r>
      <w:r>
        <w:rPr>
          <w:rFonts w:hint="eastAsia"/>
          <w:color w:val="auto"/>
          <w:sz w:val="24"/>
          <w:szCs w:val="24"/>
          <w:highlight w:val="none"/>
          <w:lang w:eastAsia="zh-CN"/>
        </w:rPr>
        <w:t>质量</w:t>
      </w:r>
      <w:r>
        <w:rPr>
          <w:rFonts w:hint="eastAsia"/>
          <w:color w:val="auto"/>
          <w:sz w:val="24"/>
          <w:szCs w:val="24"/>
          <w:highlight w:val="none"/>
        </w:rPr>
        <w:t>要求，对已进入家具物流市场和即将进入家具物流市场的企业进行规范化、标准化管理，逐渐统一并提高整个家具物流业的服务水平与质量，提高家具物流作业的效率和可靠性，从而</w:t>
      </w:r>
      <w:r>
        <w:rPr>
          <w:rFonts w:hint="eastAsia"/>
          <w:color w:val="auto"/>
          <w:sz w:val="24"/>
          <w:szCs w:val="24"/>
          <w:highlight w:val="none"/>
          <w:lang w:eastAsia="zh-CN"/>
        </w:rPr>
        <w:t>做到</w:t>
      </w:r>
      <w:r>
        <w:rPr>
          <w:rFonts w:hint="eastAsia"/>
          <w:color w:val="auto"/>
          <w:sz w:val="24"/>
          <w:szCs w:val="24"/>
          <w:highlight w:val="none"/>
        </w:rPr>
        <w:t>家具物流服务管理规范化、服务水平专业化、</w:t>
      </w:r>
      <w:r>
        <w:rPr>
          <w:rFonts w:hint="eastAsia"/>
          <w:color w:val="auto"/>
          <w:sz w:val="24"/>
          <w:szCs w:val="24"/>
          <w:highlight w:val="none"/>
        </w:rPr>
        <w:fldChar w:fldCharType="begin"/>
      </w:r>
      <w:r>
        <w:rPr>
          <w:rFonts w:hint="eastAsia"/>
          <w:color w:val="auto"/>
          <w:sz w:val="24"/>
          <w:szCs w:val="24"/>
          <w:highlight w:val="none"/>
        </w:rPr>
        <w:instrText xml:space="preserve">HYPERLINK "http://baike.baidu.com/view/522662.htm" \t "_blank"</w:instrText>
      </w:r>
      <w:r>
        <w:rPr>
          <w:rFonts w:hint="eastAsia"/>
          <w:color w:val="auto"/>
          <w:sz w:val="24"/>
          <w:szCs w:val="24"/>
          <w:highlight w:val="none"/>
        </w:rPr>
        <w:fldChar w:fldCharType="separate"/>
      </w:r>
      <w:r>
        <w:rPr>
          <w:rFonts w:hint="eastAsia"/>
          <w:color w:val="auto"/>
          <w:sz w:val="24"/>
          <w:szCs w:val="24"/>
          <w:highlight w:val="none"/>
        </w:rPr>
        <w:t>服务质量</w:t>
      </w:r>
      <w:r>
        <w:rPr>
          <w:rFonts w:hint="eastAsia"/>
          <w:color w:val="auto"/>
          <w:sz w:val="24"/>
          <w:szCs w:val="24"/>
          <w:highlight w:val="none"/>
        </w:rPr>
        <w:fldChar w:fldCharType="end"/>
      </w:r>
      <w:r>
        <w:rPr>
          <w:rFonts w:hint="eastAsia"/>
          <w:color w:val="auto"/>
          <w:sz w:val="24"/>
          <w:szCs w:val="24"/>
          <w:highlight w:val="none"/>
        </w:rPr>
        <w:t>目标化，确保家具物流</w:t>
      </w:r>
      <w:r>
        <w:rPr>
          <w:rFonts w:hint="eastAsia"/>
          <w:color w:val="auto"/>
          <w:sz w:val="24"/>
          <w:szCs w:val="24"/>
          <w:highlight w:val="none"/>
          <w:lang w:eastAsia="zh-CN"/>
        </w:rPr>
        <w:t>行</w:t>
      </w:r>
      <w:r>
        <w:rPr>
          <w:rFonts w:hint="eastAsia"/>
          <w:color w:val="auto"/>
          <w:sz w:val="24"/>
          <w:szCs w:val="24"/>
          <w:highlight w:val="none"/>
        </w:rPr>
        <w:t>业</w:t>
      </w:r>
      <w:r>
        <w:rPr>
          <w:rFonts w:hint="eastAsia"/>
          <w:color w:val="auto"/>
          <w:sz w:val="24"/>
          <w:szCs w:val="24"/>
          <w:highlight w:val="none"/>
          <w:lang w:eastAsia="zh-CN"/>
        </w:rPr>
        <w:t>健康、</w:t>
      </w:r>
      <w:r>
        <w:rPr>
          <w:rFonts w:hint="eastAsia"/>
          <w:color w:val="auto"/>
          <w:sz w:val="24"/>
          <w:szCs w:val="24"/>
          <w:highlight w:val="none"/>
        </w:rPr>
        <w:t>稳步发展。</w:t>
      </w:r>
    </w:p>
    <w:p>
      <w:pPr>
        <w:spacing w:line="360" w:lineRule="auto"/>
        <w:ind w:firstLine="480" w:firstLineChars="200"/>
        <w:rPr>
          <w:rFonts w:hint="eastAsia"/>
          <w:color w:val="auto"/>
          <w:sz w:val="24"/>
          <w:szCs w:val="24"/>
          <w:highlight w:val="none"/>
        </w:rPr>
      </w:pPr>
      <w:r>
        <w:rPr>
          <w:rFonts w:hint="eastAsia"/>
          <w:color w:val="auto"/>
          <w:sz w:val="24"/>
          <w:szCs w:val="24"/>
          <w:highlight w:val="none"/>
          <w:lang w:val="en-US" w:eastAsia="zh-CN"/>
        </w:rPr>
        <w:t xml:space="preserve">2.2.2  </w:t>
      </w:r>
      <w:r>
        <w:rPr>
          <w:rFonts w:hint="eastAsia"/>
          <w:color w:val="auto"/>
          <w:sz w:val="24"/>
          <w:szCs w:val="24"/>
          <w:highlight w:val="none"/>
        </w:rPr>
        <w:t>通过制订《家具物流服务质量规范》</w:t>
      </w:r>
      <w:r>
        <w:rPr>
          <w:rFonts w:hint="eastAsia"/>
          <w:color w:val="auto"/>
          <w:sz w:val="24"/>
          <w:szCs w:val="24"/>
          <w:highlight w:val="none"/>
          <w:lang w:eastAsia="zh-CN"/>
        </w:rPr>
        <w:t>行业标准</w:t>
      </w:r>
      <w:r>
        <w:rPr>
          <w:rFonts w:hint="eastAsia"/>
          <w:color w:val="auto"/>
          <w:sz w:val="24"/>
          <w:szCs w:val="24"/>
          <w:highlight w:val="none"/>
        </w:rPr>
        <w:t>，</w:t>
      </w:r>
      <w:r>
        <w:rPr>
          <w:rFonts w:hint="eastAsia"/>
          <w:color w:val="auto"/>
          <w:sz w:val="24"/>
          <w:szCs w:val="24"/>
          <w:highlight w:val="none"/>
          <w:lang w:eastAsia="zh-CN"/>
        </w:rPr>
        <w:t>给出家具物流服务质量评价指标</w:t>
      </w:r>
      <w:r>
        <w:rPr>
          <w:rFonts w:hint="eastAsia"/>
          <w:color w:val="auto"/>
          <w:sz w:val="24"/>
          <w:szCs w:val="24"/>
          <w:highlight w:val="none"/>
        </w:rPr>
        <w:t>及指标</w:t>
      </w:r>
      <w:r>
        <w:rPr>
          <w:rFonts w:hint="eastAsia"/>
          <w:color w:val="auto"/>
          <w:sz w:val="24"/>
          <w:szCs w:val="24"/>
          <w:highlight w:val="none"/>
          <w:lang w:eastAsia="zh-CN"/>
        </w:rPr>
        <w:t>计算</w:t>
      </w:r>
      <w:r>
        <w:rPr>
          <w:rFonts w:hint="eastAsia"/>
          <w:color w:val="auto"/>
          <w:sz w:val="24"/>
          <w:szCs w:val="24"/>
          <w:highlight w:val="none"/>
        </w:rPr>
        <w:t>方法，</w:t>
      </w:r>
      <w:r>
        <w:rPr>
          <w:rFonts w:hint="eastAsia"/>
          <w:color w:val="auto"/>
          <w:sz w:val="24"/>
          <w:szCs w:val="24"/>
          <w:highlight w:val="none"/>
          <w:lang w:eastAsia="zh-CN"/>
        </w:rPr>
        <w:t>不但</w:t>
      </w:r>
      <w:r>
        <w:rPr>
          <w:rFonts w:hint="eastAsia"/>
          <w:color w:val="auto"/>
          <w:sz w:val="24"/>
          <w:szCs w:val="24"/>
          <w:highlight w:val="none"/>
        </w:rPr>
        <w:t>为广大家具制造业、家具物流业、家具电商企业</w:t>
      </w:r>
      <w:r>
        <w:rPr>
          <w:rFonts w:hint="eastAsia"/>
          <w:color w:val="auto"/>
          <w:sz w:val="24"/>
          <w:szCs w:val="24"/>
          <w:highlight w:val="none"/>
          <w:lang w:eastAsia="zh-CN"/>
        </w:rPr>
        <w:t>及终端消费者</w:t>
      </w:r>
      <w:r>
        <w:rPr>
          <w:rFonts w:hint="eastAsia"/>
          <w:color w:val="auto"/>
          <w:sz w:val="24"/>
          <w:szCs w:val="24"/>
          <w:highlight w:val="none"/>
        </w:rPr>
        <w:t>提供一个</w:t>
      </w:r>
      <w:r>
        <w:rPr>
          <w:rFonts w:hint="eastAsia"/>
          <w:color w:val="auto"/>
          <w:sz w:val="24"/>
          <w:szCs w:val="24"/>
          <w:highlight w:val="none"/>
          <w:lang w:eastAsia="zh-CN"/>
        </w:rPr>
        <w:t>可</w:t>
      </w:r>
      <w:r>
        <w:rPr>
          <w:rFonts w:hint="eastAsia"/>
          <w:color w:val="auto"/>
          <w:sz w:val="24"/>
          <w:szCs w:val="24"/>
          <w:highlight w:val="none"/>
        </w:rPr>
        <w:t>考核</w:t>
      </w:r>
      <w:r>
        <w:rPr>
          <w:rFonts w:hint="eastAsia"/>
          <w:color w:val="auto"/>
          <w:sz w:val="24"/>
          <w:szCs w:val="24"/>
          <w:highlight w:val="none"/>
          <w:lang w:eastAsia="zh-CN"/>
        </w:rPr>
        <w:t>、评估家具物流服务质量高低</w:t>
      </w:r>
      <w:r>
        <w:rPr>
          <w:rFonts w:hint="eastAsia"/>
          <w:color w:val="auto"/>
          <w:sz w:val="24"/>
          <w:szCs w:val="24"/>
          <w:highlight w:val="none"/>
        </w:rPr>
        <w:t>的参考标准，</w:t>
      </w:r>
      <w:r>
        <w:rPr>
          <w:rFonts w:hint="eastAsia"/>
          <w:color w:val="auto"/>
          <w:sz w:val="24"/>
          <w:szCs w:val="24"/>
          <w:highlight w:val="none"/>
          <w:lang w:eastAsia="zh-CN"/>
        </w:rPr>
        <w:t>同时</w:t>
      </w:r>
      <w:r>
        <w:rPr>
          <w:rFonts w:hint="eastAsia"/>
          <w:color w:val="auto"/>
          <w:sz w:val="24"/>
          <w:szCs w:val="24"/>
          <w:highlight w:val="none"/>
        </w:rPr>
        <w:t>也</w:t>
      </w:r>
      <w:r>
        <w:rPr>
          <w:rFonts w:hint="eastAsia"/>
          <w:color w:val="auto"/>
          <w:sz w:val="24"/>
          <w:szCs w:val="24"/>
          <w:highlight w:val="none"/>
          <w:lang w:eastAsia="zh-CN"/>
        </w:rPr>
        <w:t>可</w:t>
      </w:r>
      <w:r>
        <w:rPr>
          <w:rFonts w:hint="eastAsia"/>
          <w:color w:val="auto"/>
          <w:sz w:val="24"/>
          <w:szCs w:val="24"/>
          <w:highlight w:val="none"/>
        </w:rPr>
        <w:t>为解决各种纠纷提供一个协商和仲裁的依据。</w:t>
      </w:r>
    </w:p>
    <w:p>
      <w:pPr>
        <w:spacing w:line="360" w:lineRule="auto"/>
        <w:ind w:firstLine="480" w:firstLineChars="200"/>
        <w:rPr>
          <w:rFonts w:hint="eastAsia" w:ascii="宋体" w:hAnsi="宋体"/>
          <w:color w:val="auto"/>
          <w:sz w:val="24"/>
          <w:highlight w:val="none"/>
          <w:lang w:val="en-US" w:eastAsia="zh-CN"/>
        </w:rPr>
      </w:pPr>
      <w:r>
        <w:rPr>
          <w:rFonts w:hint="eastAsia"/>
          <w:color w:val="auto"/>
          <w:sz w:val="24"/>
          <w:szCs w:val="24"/>
          <w:highlight w:val="none"/>
          <w:lang w:val="en-US" w:eastAsia="zh-CN"/>
        </w:rPr>
        <w:t xml:space="preserve">2.2.3  </w:t>
      </w:r>
      <w:r>
        <w:rPr>
          <w:rFonts w:hint="eastAsia"/>
          <w:color w:val="auto"/>
          <w:sz w:val="24"/>
          <w:szCs w:val="24"/>
          <w:highlight w:val="none"/>
        </w:rPr>
        <w:t>通过制订《家具物流服务质量规范》</w:t>
      </w:r>
      <w:r>
        <w:rPr>
          <w:rFonts w:hint="eastAsia"/>
          <w:color w:val="auto"/>
          <w:sz w:val="24"/>
          <w:szCs w:val="24"/>
          <w:highlight w:val="none"/>
          <w:lang w:eastAsia="zh-CN"/>
        </w:rPr>
        <w:t>行业标准</w:t>
      </w:r>
      <w:r>
        <w:rPr>
          <w:rFonts w:hint="eastAsia"/>
          <w:color w:val="auto"/>
          <w:sz w:val="24"/>
          <w:szCs w:val="24"/>
          <w:highlight w:val="none"/>
        </w:rPr>
        <w:t>，政府或相关组织部门可</w:t>
      </w:r>
      <w:r>
        <w:rPr>
          <w:rFonts w:hint="eastAsia"/>
          <w:color w:val="auto"/>
          <w:sz w:val="24"/>
          <w:szCs w:val="24"/>
          <w:highlight w:val="none"/>
          <w:lang w:eastAsia="zh-CN"/>
        </w:rPr>
        <w:t>根据家具物流企业服务质量的评价结果，</w:t>
      </w:r>
      <w:r>
        <w:rPr>
          <w:rFonts w:hint="eastAsia"/>
          <w:color w:val="auto"/>
          <w:sz w:val="24"/>
          <w:szCs w:val="24"/>
          <w:highlight w:val="none"/>
        </w:rPr>
        <w:t>有效掌握我国</w:t>
      </w:r>
      <w:r>
        <w:rPr>
          <w:rFonts w:hint="eastAsia"/>
          <w:color w:val="auto"/>
          <w:sz w:val="24"/>
          <w:szCs w:val="24"/>
          <w:highlight w:val="none"/>
          <w:lang w:eastAsia="zh-CN"/>
        </w:rPr>
        <w:t>家具</w:t>
      </w:r>
      <w:r>
        <w:rPr>
          <w:rFonts w:hint="eastAsia"/>
          <w:color w:val="auto"/>
          <w:sz w:val="24"/>
          <w:szCs w:val="24"/>
          <w:highlight w:val="none"/>
        </w:rPr>
        <w:t>物流的发展现状及存在的主要问题，从而为制定推进</w:t>
      </w:r>
      <w:r>
        <w:rPr>
          <w:rFonts w:hint="eastAsia"/>
          <w:color w:val="auto"/>
          <w:sz w:val="24"/>
          <w:szCs w:val="24"/>
          <w:highlight w:val="none"/>
          <w:lang w:eastAsia="zh-CN"/>
        </w:rPr>
        <w:t>家具</w:t>
      </w:r>
      <w:r>
        <w:rPr>
          <w:rFonts w:hint="eastAsia"/>
          <w:color w:val="auto"/>
          <w:sz w:val="24"/>
          <w:szCs w:val="24"/>
          <w:highlight w:val="none"/>
        </w:rPr>
        <w:t>物流</w:t>
      </w:r>
      <w:r>
        <w:rPr>
          <w:rFonts w:hint="eastAsia"/>
          <w:color w:val="auto"/>
          <w:sz w:val="24"/>
          <w:szCs w:val="24"/>
          <w:highlight w:val="none"/>
          <w:lang w:eastAsia="zh-CN"/>
        </w:rPr>
        <w:t>发展</w:t>
      </w:r>
      <w:r>
        <w:rPr>
          <w:rFonts w:hint="eastAsia"/>
          <w:color w:val="auto"/>
          <w:sz w:val="24"/>
          <w:szCs w:val="24"/>
          <w:highlight w:val="none"/>
        </w:rPr>
        <w:t>的相关政策提供决策依据</w:t>
      </w:r>
      <w:r>
        <w:rPr>
          <w:rFonts w:hint="eastAsia"/>
          <w:color w:val="auto"/>
          <w:sz w:val="24"/>
          <w:szCs w:val="24"/>
          <w:highlight w:val="none"/>
          <w:lang w:eastAsia="zh-CN"/>
        </w:rPr>
        <w:t>。</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3  </w:t>
      </w:r>
      <w:r>
        <w:rPr>
          <w:rFonts w:hint="eastAsia" w:ascii="宋体" w:hAnsi="宋体"/>
          <w:b/>
          <w:color w:val="auto"/>
          <w:kern w:val="0"/>
          <w:sz w:val="24"/>
          <w:highlight w:val="none"/>
        </w:rPr>
        <w:t>标准编制原则和主要内容</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rPr>
      </w:pPr>
      <w:r>
        <w:rPr>
          <w:rFonts w:hint="eastAsia" w:ascii="ˎ̥" w:hAnsi="ˎ̥"/>
          <w:b/>
          <w:color w:val="auto"/>
          <w:sz w:val="24"/>
          <w:highlight w:val="none"/>
          <w:lang w:val="en-US" w:eastAsia="zh-CN"/>
        </w:rPr>
        <w:t xml:space="preserve">3.1  </w:t>
      </w:r>
      <w:r>
        <w:rPr>
          <w:rFonts w:hint="eastAsia" w:ascii="ˎ̥" w:hAnsi="ˎ̥"/>
          <w:b/>
          <w:color w:val="auto"/>
          <w:sz w:val="24"/>
          <w:highlight w:val="none"/>
        </w:rPr>
        <w:t>标准编制原则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ˎ̥" w:hAnsi="ˎ̥"/>
          <w:color w:val="auto"/>
          <w:sz w:val="24"/>
          <w:highlight w:val="none"/>
        </w:rPr>
      </w:pPr>
      <w:r>
        <w:rPr>
          <w:rFonts w:hint="eastAsia" w:ascii="ˎ̥" w:hAnsi="ˎ̥"/>
          <w:color w:val="auto"/>
          <w:sz w:val="24"/>
          <w:highlight w:val="none"/>
        </w:rPr>
        <w:t>本标准以我国</w:t>
      </w:r>
      <w:r>
        <w:rPr>
          <w:rFonts w:hint="eastAsia" w:ascii="ˎ̥" w:hAnsi="ˎ̥"/>
          <w:color w:val="auto"/>
          <w:sz w:val="24"/>
          <w:highlight w:val="none"/>
          <w:lang w:eastAsia="zh-CN"/>
        </w:rPr>
        <w:t>家具</w:t>
      </w:r>
      <w:r>
        <w:rPr>
          <w:rFonts w:hint="eastAsia" w:ascii="ˎ̥" w:hAnsi="ˎ̥"/>
          <w:color w:val="auto"/>
          <w:sz w:val="24"/>
          <w:highlight w:val="none"/>
        </w:rPr>
        <w:t>物流业相关的政策</w:t>
      </w:r>
      <w:r>
        <w:rPr>
          <w:rFonts w:hint="eastAsia" w:ascii="ˎ̥" w:hAnsi="ˎ̥"/>
          <w:color w:val="auto"/>
          <w:sz w:val="24"/>
          <w:highlight w:val="none"/>
          <w:lang w:eastAsia="zh-CN"/>
        </w:rPr>
        <w:t>、法律</w:t>
      </w:r>
      <w:r>
        <w:rPr>
          <w:rFonts w:hint="eastAsia" w:ascii="ˎ̥" w:hAnsi="ˎ̥"/>
          <w:color w:val="auto"/>
          <w:sz w:val="24"/>
          <w:highlight w:val="none"/>
        </w:rPr>
        <w:t>法规为依据，从家具物流行业发展的需要出发，体现科学性</w:t>
      </w:r>
      <w:r>
        <w:rPr>
          <w:rFonts w:hint="eastAsia" w:ascii="ˎ̥" w:hAnsi="ˎ̥"/>
          <w:color w:val="auto"/>
          <w:sz w:val="24"/>
          <w:highlight w:val="none"/>
          <w:lang w:eastAsia="zh-CN"/>
        </w:rPr>
        <w:t>、可操作性</w:t>
      </w:r>
      <w:r>
        <w:rPr>
          <w:rFonts w:hint="eastAsia" w:ascii="ˎ̥" w:hAnsi="ˎ̥"/>
          <w:color w:val="auto"/>
          <w:sz w:val="24"/>
          <w:highlight w:val="none"/>
        </w:rPr>
        <w:t>和通用性三大原则：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ˎ̥" w:hAnsi="ˎ̥"/>
          <w:b/>
          <w:bCs/>
          <w:color w:val="auto"/>
          <w:sz w:val="24"/>
          <w:highlight w:val="none"/>
        </w:rPr>
      </w:pPr>
      <w:r>
        <w:rPr>
          <w:rFonts w:hint="eastAsia" w:ascii="ˎ̥" w:hAnsi="ˎ̥"/>
          <w:b/>
          <w:bCs/>
          <w:color w:val="auto"/>
          <w:sz w:val="24"/>
          <w:highlight w:val="none"/>
          <w:lang w:val="en-US" w:eastAsia="zh-CN"/>
        </w:rPr>
        <w:t xml:space="preserve">3.1.1  </w:t>
      </w:r>
      <w:r>
        <w:rPr>
          <w:rFonts w:hint="eastAsia" w:ascii="ˎ̥" w:hAnsi="ˎ̥"/>
          <w:b/>
          <w:bCs/>
          <w:color w:val="auto"/>
          <w:sz w:val="24"/>
          <w:highlight w:val="none"/>
        </w:rPr>
        <w:t>科学性</w:t>
      </w:r>
      <w:r>
        <w:rPr>
          <w:rFonts w:hint="eastAsia" w:ascii="ˎ̥" w:hAnsi="ˎ̥"/>
          <w:b/>
          <w:bCs/>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ˎ̥" w:hAnsi="ˎ̥"/>
          <w:color w:val="auto"/>
          <w:sz w:val="24"/>
          <w:highlight w:val="none"/>
        </w:rPr>
      </w:pPr>
      <w:r>
        <w:rPr>
          <w:rFonts w:hint="eastAsia" w:ascii="ˎ̥" w:hAnsi="ˎ̥"/>
          <w:color w:val="auto"/>
          <w:sz w:val="24"/>
          <w:highlight w:val="none"/>
        </w:rPr>
        <w:t>本标准制定过程中强调以</w:t>
      </w:r>
      <w:r>
        <w:rPr>
          <w:rFonts w:hint="eastAsia" w:ascii="ˎ̥" w:hAnsi="ˎ̥"/>
          <w:color w:val="auto"/>
          <w:sz w:val="24"/>
          <w:highlight w:val="none"/>
          <w:lang w:val="en-US" w:eastAsia="zh-CN"/>
        </w:rPr>
        <w:t>客户</w:t>
      </w:r>
      <w:r>
        <w:rPr>
          <w:rFonts w:hint="eastAsia" w:ascii="ˎ̥" w:hAnsi="ˎ̥"/>
          <w:color w:val="auto"/>
          <w:sz w:val="24"/>
          <w:highlight w:val="none"/>
        </w:rPr>
        <w:t>为中心，重点从</w:t>
      </w:r>
      <w:r>
        <w:rPr>
          <w:rFonts w:hint="eastAsia" w:ascii="ˎ̥" w:hAnsi="ˎ̥"/>
          <w:color w:val="auto"/>
          <w:sz w:val="24"/>
          <w:highlight w:val="none"/>
          <w:lang w:val="en-US" w:eastAsia="zh-CN"/>
        </w:rPr>
        <w:t>客户</w:t>
      </w:r>
      <w:r>
        <w:rPr>
          <w:rFonts w:hint="eastAsia" w:ascii="ˎ̥" w:hAnsi="ˎ̥"/>
          <w:color w:val="auto"/>
          <w:sz w:val="24"/>
          <w:highlight w:val="none"/>
        </w:rPr>
        <w:t>角度出发</w:t>
      </w:r>
      <w:r>
        <w:rPr>
          <w:rFonts w:hint="eastAsia" w:ascii="ˎ̥" w:hAnsi="ˎ̥"/>
          <w:color w:val="auto"/>
          <w:sz w:val="24"/>
          <w:highlight w:val="none"/>
          <w:lang w:eastAsia="zh-CN"/>
        </w:rPr>
        <w:t>，系统、科学地</w:t>
      </w:r>
      <w:r>
        <w:rPr>
          <w:rFonts w:hint="eastAsia" w:ascii="ˎ̥" w:hAnsi="ˎ̥"/>
          <w:color w:val="auto"/>
          <w:sz w:val="24"/>
          <w:highlight w:val="none"/>
        </w:rPr>
        <w:t>对家具物流</w:t>
      </w:r>
      <w:r>
        <w:rPr>
          <w:rFonts w:hint="eastAsia" w:ascii="ˎ̥" w:hAnsi="ˎ̥"/>
          <w:color w:val="auto"/>
          <w:sz w:val="24"/>
          <w:highlight w:val="none"/>
          <w:lang w:eastAsia="zh-CN"/>
        </w:rPr>
        <w:t>服务</w:t>
      </w:r>
      <w:r>
        <w:rPr>
          <w:rFonts w:hint="eastAsia" w:ascii="ˎ̥" w:hAnsi="ˎ̥"/>
          <w:color w:val="auto"/>
          <w:sz w:val="24"/>
          <w:highlight w:val="none"/>
        </w:rPr>
        <w:t>的全过程提出服务规范方面的要求，涵盖能够评价服务质量的关键性指标，以利于行业规范、企业自律，</w:t>
      </w:r>
      <w:r>
        <w:rPr>
          <w:rFonts w:hint="eastAsia" w:ascii="ˎ̥" w:hAnsi="ˎ̥"/>
          <w:color w:val="auto"/>
          <w:sz w:val="24"/>
          <w:highlight w:val="none"/>
          <w:lang w:eastAsia="zh-CN"/>
        </w:rPr>
        <w:t>从而</w:t>
      </w:r>
      <w:r>
        <w:rPr>
          <w:rFonts w:hint="eastAsia" w:ascii="ˎ̥" w:hAnsi="ˎ̥"/>
          <w:color w:val="auto"/>
          <w:sz w:val="24"/>
          <w:highlight w:val="none"/>
        </w:rPr>
        <w:t>提升行业整体</w:t>
      </w:r>
      <w:r>
        <w:rPr>
          <w:rFonts w:hint="eastAsia" w:ascii="ˎ̥" w:hAnsi="ˎ̥"/>
          <w:color w:val="auto"/>
          <w:sz w:val="24"/>
          <w:highlight w:val="none"/>
          <w:lang w:eastAsia="zh-CN"/>
        </w:rPr>
        <w:t>水平与</w:t>
      </w:r>
      <w:r>
        <w:rPr>
          <w:rFonts w:hint="eastAsia" w:ascii="ˎ̥" w:hAnsi="ˎ̥"/>
          <w:color w:val="auto"/>
          <w:sz w:val="24"/>
          <w:highlight w:val="none"/>
        </w:rPr>
        <w:t>竞争力。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ˎ̥" w:hAnsi="ˎ̥"/>
          <w:b/>
          <w:bCs/>
          <w:color w:val="auto"/>
          <w:sz w:val="24"/>
          <w:highlight w:val="none"/>
        </w:rPr>
      </w:pPr>
      <w:r>
        <w:rPr>
          <w:rFonts w:hint="eastAsia" w:ascii="ˎ̥" w:hAnsi="ˎ̥"/>
          <w:b/>
          <w:bCs/>
          <w:color w:val="auto"/>
          <w:sz w:val="24"/>
          <w:highlight w:val="none"/>
          <w:lang w:val="en-US" w:eastAsia="zh-CN"/>
        </w:rPr>
        <w:t xml:space="preserve">3.1.2  </w:t>
      </w:r>
      <w:r>
        <w:rPr>
          <w:rFonts w:hint="eastAsia" w:ascii="ˎ̥" w:hAnsi="ˎ̥"/>
          <w:b/>
          <w:bCs/>
          <w:color w:val="auto"/>
          <w:sz w:val="24"/>
          <w:highlight w:val="none"/>
          <w:lang w:eastAsia="zh-CN"/>
        </w:rPr>
        <w:t>可</w:t>
      </w:r>
      <w:r>
        <w:rPr>
          <w:rFonts w:hint="eastAsia" w:ascii="ˎ̥" w:hAnsi="ˎ̥"/>
          <w:b/>
          <w:bCs/>
          <w:color w:val="auto"/>
          <w:sz w:val="24"/>
          <w:highlight w:val="none"/>
        </w:rPr>
        <w:t>操作性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ˎ̥" w:hAnsi="ˎ̥"/>
          <w:color w:val="auto"/>
          <w:sz w:val="24"/>
          <w:highlight w:val="none"/>
        </w:rPr>
      </w:pPr>
      <w:r>
        <w:rPr>
          <w:rFonts w:hint="eastAsia" w:ascii="ˎ̥" w:hAnsi="ˎ̥"/>
          <w:color w:val="auto"/>
          <w:sz w:val="24"/>
          <w:highlight w:val="none"/>
          <w:lang w:eastAsia="zh-CN"/>
        </w:rPr>
        <w:t>本标准从家具物流服务的基本要求、服务流程、实施保障、评价与改进这四方面给出了明确的规定与要求，在服务质量指标方面选取目前家具物流企业及相关方较为关注的</w:t>
      </w:r>
      <w:r>
        <w:rPr>
          <w:rFonts w:hint="eastAsia" w:ascii="ˎ̥" w:hAnsi="ˎ̥"/>
          <w:color w:val="auto"/>
          <w:sz w:val="24"/>
          <w:highlight w:val="none"/>
          <w:lang w:val="en-US" w:eastAsia="zh-CN"/>
        </w:rPr>
        <w:t>10项指标，并给出了明确的计算方式，在附录A中给出了经过多方调研、数据收集、综合而成的参考值</w:t>
      </w:r>
      <w:r>
        <w:rPr>
          <w:rFonts w:hint="eastAsia" w:ascii="ˎ̥" w:hAnsi="ˎ̥"/>
          <w:color w:val="auto"/>
          <w:sz w:val="24"/>
          <w:highlight w:val="none"/>
          <w:lang w:eastAsia="zh-CN"/>
        </w:rPr>
        <w:t>，</w:t>
      </w:r>
      <w:r>
        <w:rPr>
          <w:rFonts w:hint="eastAsia"/>
          <w:color w:val="auto"/>
          <w:kern w:val="0"/>
          <w:sz w:val="24"/>
          <w:szCs w:val="24"/>
          <w:highlight w:val="none"/>
          <w:shd w:val="clear" w:color="auto" w:fill="FFFFFF"/>
        </w:rPr>
        <w:t>具有可操作性。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ˎ̥" w:hAnsi="ˎ̥"/>
          <w:b/>
          <w:bCs/>
          <w:color w:val="auto"/>
          <w:sz w:val="24"/>
          <w:highlight w:val="none"/>
        </w:rPr>
      </w:pPr>
      <w:r>
        <w:rPr>
          <w:rFonts w:hint="eastAsia" w:ascii="ˎ̥" w:hAnsi="ˎ̥"/>
          <w:b/>
          <w:bCs/>
          <w:color w:val="auto"/>
          <w:sz w:val="24"/>
          <w:highlight w:val="none"/>
          <w:lang w:val="en-US" w:eastAsia="zh-CN"/>
        </w:rPr>
        <w:t xml:space="preserve">3.1.3  </w:t>
      </w:r>
      <w:r>
        <w:rPr>
          <w:rFonts w:hint="eastAsia" w:ascii="ˎ̥" w:hAnsi="ˎ̥"/>
          <w:b/>
          <w:bCs/>
          <w:color w:val="auto"/>
          <w:sz w:val="24"/>
          <w:highlight w:val="none"/>
        </w:rPr>
        <w:t>通用性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ˎ̥" w:hAnsi="ˎ̥"/>
          <w:b/>
          <w:color w:val="auto"/>
          <w:sz w:val="24"/>
          <w:highlight w:val="none"/>
        </w:rPr>
      </w:pPr>
      <w:r>
        <w:rPr>
          <w:rFonts w:hint="eastAsia" w:ascii="ˎ̥" w:hAnsi="ˎ̥"/>
          <w:color w:val="auto"/>
          <w:sz w:val="24"/>
          <w:highlight w:val="none"/>
        </w:rPr>
        <w:t>本标准针对</w:t>
      </w:r>
      <w:r>
        <w:rPr>
          <w:rFonts w:hint="eastAsia" w:ascii="ˎ̥" w:hAnsi="ˎ̥"/>
          <w:color w:val="auto"/>
          <w:sz w:val="24"/>
          <w:highlight w:val="none"/>
          <w:lang w:eastAsia="zh-CN"/>
        </w:rPr>
        <w:t>家具物流服务</w:t>
      </w:r>
      <w:r>
        <w:rPr>
          <w:rFonts w:hint="eastAsia" w:ascii="ˎ̥" w:hAnsi="ˎ̥"/>
          <w:color w:val="auto"/>
          <w:sz w:val="24"/>
          <w:highlight w:val="none"/>
        </w:rPr>
        <w:t>提出了通用的要求和</w:t>
      </w:r>
      <w:r>
        <w:rPr>
          <w:rFonts w:hint="eastAsia" w:ascii="ˎ̥" w:hAnsi="ˎ̥"/>
          <w:color w:val="auto"/>
          <w:sz w:val="24"/>
          <w:highlight w:val="none"/>
          <w:lang w:val="en-US" w:eastAsia="zh-CN"/>
        </w:rPr>
        <w:t>A、B、C三个等级的</w:t>
      </w:r>
      <w:r>
        <w:rPr>
          <w:rFonts w:hint="eastAsia" w:ascii="ˎ̥" w:hAnsi="ˎ̥"/>
          <w:color w:val="auto"/>
          <w:sz w:val="24"/>
          <w:highlight w:val="none"/>
          <w:lang w:eastAsia="zh-CN"/>
        </w:rPr>
        <w:t>服务质量</w:t>
      </w:r>
      <w:r>
        <w:rPr>
          <w:rFonts w:hint="eastAsia" w:ascii="ˎ̥" w:hAnsi="ˎ̥"/>
          <w:color w:val="auto"/>
          <w:sz w:val="24"/>
          <w:highlight w:val="none"/>
        </w:rPr>
        <w:t>指标参考值，</w:t>
      </w:r>
      <w:r>
        <w:rPr>
          <w:rFonts w:hint="eastAsia" w:ascii="ˎ̥" w:hAnsi="ˎ̥"/>
          <w:color w:val="auto"/>
          <w:sz w:val="24"/>
          <w:highlight w:val="none"/>
          <w:lang w:eastAsia="zh-CN"/>
        </w:rPr>
        <w:t>可</w:t>
      </w:r>
      <w:r>
        <w:rPr>
          <w:rFonts w:hint="eastAsia" w:ascii="ˎ̥" w:hAnsi="ˎ̥"/>
          <w:color w:val="auto"/>
          <w:sz w:val="24"/>
          <w:highlight w:val="none"/>
        </w:rPr>
        <w:t>作为</w:t>
      </w:r>
      <w:r>
        <w:rPr>
          <w:rFonts w:hint="eastAsia" w:ascii="ˎ̥" w:hAnsi="ˎ̥"/>
          <w:color w:val="auto"/>
          <w:sz w:val="24"/>
          <w:highlight w:val="none"/>
          <w:lang w:eastAsia="zh-CN"/>
        </w:rPr>
        <w:t>物流</w:t>
      </w:r>
      <w:r>
        <w:rPr>
          <w:rFonts w:hint="eastAsia" w:ascii="ˎ̥" w:hAnsi="ˎ̥"/>
          <w:color w:val="auto"/>
          <w:sz w:val="24"/>
          <w:highlight w:val="none"/>
        </w:rPr>
        <w:t>企业加强自身管理和流通企业选择物流供应商的依据。</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eastAsia="zh-CN"/>
        </w:rPr>
      </w:pPr>
      <w:r>
        <w:rPr>
          <w:rFonts w:hint="eastAsia" w:ascii="ˎ̥" w:hAnsi="ˎ̥"/>
          <w:b/>
          <w:color w:val="auto"/>
          <w:sz w:val="24"/>
          <w:highlight w:val="none"/>
          <w:lang w:val="en-US" w:eastAsia="zh-CN"/>
        </w:rPr>
        <w:t xml:space="preserve">3.2  </w:t>
      </w:r>
      <w:r>
        <w:rPr>
          <w:rFonts w:hint="eastAsia" w:ascii="ˎ̥" w:hAnsi="ˎ̥"/>
          <w:b/>
          <w:color w:val="auto"/>
          <w:sz w:val="24"/>
          <w:highlight w:val="none"/>
        </w:rPr>
        <w:t>标准主要内容</w:t>
      </w:r>
      <w:r>
        <w:rPr>
          <w:rFonts w:hint="eastAsia" w:ascii="ˎ̥" w:hAnsi="ˎ̥"/>
          <w:b/>
          <w:color w:val="auto"/>
          <w:sz w:val="24"/>
          <w:highlight w:val="none"/>
          <w:lang w:eastAsia="zh-CN"/>
        </w:rPr>
        <w:t>说明</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eastAsia="zh-CN"/>
        </w:rPr>
      </w:pPr>
      <w:r>
        <w:rPr>
          <w:rFonts w:hint="eastAsia" w:ascii="ˎ̥" w:hAnsi="ˎ̥"/>
          <w:b/>
          <w:color w:val="auto"/>
          <w:sz w:val="24"/>
          <w:highlight w:val="none"/>
          <w:lang w:eastAsia="zh-CN"/>
        </w:rPr>
        <w:t>（一）范围</w:t>
      </w:r>
    </w:p>
    <w:p>
      <w:pPr>
        <w:pStyle w:val="8"/>
        <w:spacing w:line="360" w:lineRule="auto"/>
        <w:rPr>
          <w:rStyle w:val="5"/>
          <w:rFonts w:hint="eastAsia"/>
          <w:color w:val="auto"/>
          <w:sz w:val="24"/>
          <w:szCs w:val="24"/>
          <w:highlight w:val="none"/>
          <w:lang w:val="en-US" w:eastAsia="zh-CN"/>
        </w:rPr>
      </w:pPr>
      <w:r>
        <w:rPr>
          <w:rStyle w:val="5"/>
          <w:rFonts w:hint="eastAsia"/>
          <w:color w:val="auto"/>
          <w:sz w:val="24"/>
          <w:szCs w:val="24"/>
          <w:highlight w:val="none"/>
          <w:lang w:val="en-US" w:eastAsia="zh-CN"/>
        </w:rPr>
        <w:t>本标准规定了家具物流服务的术语和定义、基本要求、服务流程、实施保障、评价与改进及服务质量指标。</w:t>
      </w:r>
    </w:p>
    <w:p>
      <w:pPr>
        <w:pStyle w:val="8"/>
        <w:spacing w:line="360" w:lineRule="auto"/>
        <w:rPr>
          <w:rStyle w:val="5"/>
          <w:rFonts w:hint="eastAsia"/>
          <w:color w:val="auto"/>
          <w:sz w:val="24"/>
          <w:szCs w:val="24"/>
          <w:highlight w:val="none"/>
          <w:lang w:val="en-US" w:eastAsia="zh-CN"/>
        </w:rPr>
      </w:pPr>
      <w:r>
        <w:rPr>
          <w:rStyle w:val="5"/>
          <w:rFonts w:hint="eastAsia"/>
          <w:color w:val="auto"/>
          <w:sz w:val="24"/>
          <w:szCs w:val="24"/>
          <w:highlight w:val="none"/>
          <w:lang w:val="en-US" w:eastAsia="zh-CN"/>
        </w:rPr>
        <w:t>本标准适用于家具成品的物流服务。</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val="en-US" w:eastAsia="zh-CN"/>
        </w:rPr>
      </w:pPr>
      <w:r>
        <w:rPr>
          <w:rFonts w:hint="eastAsia" w:ascii="ˎ̥" w:hAnsi="ˎ̥"/>
          <w:b/>
          <w:color w:val="auto"/>
          <w:sz w:val="24"/>
          <w:highlight w:val="none"/>
          <w:lang w:val="en-US" w:eastAsia="zh-CN"/>
        </w:rPr>
        <w:t>（二）规范性引用文件</w:t>
      </w:r>
    </w:p>
    <w:p>
      <w:pPr>
        <w:pStyle w:val="8"/>
        <w:spacing w:line="360" w:lineRule="auto"/>
        <w:rPr>
          <w:rStyle w:val="5"/>
          <w:rFonts w:hint="eastAsia"/>
          <w:color w:val="auto"/>
          <w:sz w:val="24"/>
          <w:szCs w:val="24"/>
          <w:highlight w:val="none"/>
          <w:lang w:val="en-US" w:eastAsia="zh-CN"/>
        </w:rPr>
      </w:pPr>
      <w:r>
        <w:rPr>
          <w:rStyle w:val="5"/>
          <w:rFonts w:hint="eastAsia"/>
          <w:color w:val="auto"/>
          <w:sz w:val="24"/>
          <w:szCs w:val="24"/>
          <w:highlight w:val="none"/>
          <w:lang w:val="en-US" w:eastAsia="zh-CN"/>
        </w:rPr>
        <w:t>下列文件对于本文件的应用是必不可少的。凡是注日期的引用文件，仅所注日期的版本适用于本文件。凡是不注日期的引用文件，其最新版本（包括所有的修改单）适用于本文件。</w:t>
      </w:r>
    </w:p>
    <w:p>
      <w:pPr>
        <w:pStyle w:val="8"/>
        <w:spacing w:line="360" w:lineRule="auto"/>
        <w:rPr>
          <w:rStyle w:val="5"/>
          <w:rFonts w:hint="eastAsia"/>
          <w:color w:val="auto"/>
          <w:sz w:val="24"/>
          <w:szCs w:val="24"/>
          <w:highlight w:val="none"/>
          <w:lang w:val="en-US" w:eastAsia="zh-CN"/>
        </w:rPr>
      </w:pPr>
      <w:r>
        <w:rPr>
          <w:rStyle w:val="5"/>
          <w:rFonts w:hint="eastAsia"/>
          <w:color w:val="auto"/>
          <w:sz w:val="24"/>
          <w:szCs w:val="24"/>
          <w:highlight w:val="none"/>
          <w:lang w:val="en-US" w:eastAsia="zh-CN"/>
        </w:rPr>
        <w:t>GB/T 18354  物流术语</w:t>
      </w:r>
    </w:p>
    <w:p>
      <w:pPr>
        <w:pStyle w:val="8"/>
        <w:spacing w:line="360" w:lineRule="auto"/>
        <w:rPr>
          <w:rStyle w:val="5"/>
          <w:rFonts w:hint="eastAsia"/>
          <w:color w:val="auto"/>
          <w:sz w:val="24"/>
          <w:szCs w:val="24"/>
          <w:highlight w:val="none"/>
          <w:lang w:val="en-US" w:eastAsia="zh-CN"/>
        </w:rPr>
      </w:pPr>
      <w:r>
        <w:rPr>
          <w:rStyle w:val="5"/>
          <w:rFonts w:hint="eastAsia"/>
          <w:color w:val="auto"/>
          <w:sz w:val="24"/>
          <w:szCs w:val="24"/>
          <w:highlight w:val="none"/>
          <w:lang w:val="en-US" w:eastAsia="zh-CN"/>
        </w:rPr>
        <w:t>GB/T 19680  物流企业分类与评估指标</w:t>
      </w:r>
    </w:p>
    <w:p>
      <w:pPr>
        <w:pStyle w:val="8"/>
        <w:spacing w:line="360" w:lineRule="auto"/>
        <w:rPr>
          <w:rStyle w:val="5"/>
          <w:rFonts w:hint="eastAsia"/>
          <w:color w:val="auto"/>
          <w:sz w:val="24"/>
          <w:szCs w:val="24"/>
          <w:highlight w:val="none"/>
          <w:lang w:val="en-US" w:eastAsia="zh-CN"/>
        </w:rPr>
      </w:pPr>
      <w:r>
        <w:rPr>
          <w:rStyle w:val="5"/>
          <w:rFonts w:hint="eastAsia"/>
          <w:color w:val="auto"/>
          <w:sz w:val="24"/>
          <w:szCs w:val="24"/>
          <w:highlight w:val="none"/>
          <w:lang w:val="en-US" w:eastAsia="zh-CN"/>
        </w:rPr>
        <w:t>GB/T 30333  物流服务合同准则</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val="en-US" w:eastAsia="zh-CN"/>
        </w:rPr>
      </w:pPr>
      <w:r>
        <w:rPr>
          <w:rFonts w:hint="eastAsia" w:ascii="ˎ̥" w:hAnsi="ˎ̥"/>
          <w:b/>
          <w:color w:val="auto"/>
          <w:sz w:val="24"/>
          <w:highlight w:val="none"/>
          <w:lang w:val="en-US" w:eastAsia="zh-CN"/>
        </w:rPr>
        <w:t>（三）术语和定义</w:t>
      </w:r>
    </w:p>
    <w:p>
      <w:pPr>
        <w:pStyle w:val="2"/>
        <w:rPr>
          <w:rFonts w:hint="eastAsia"/>
          <w:color w:val="auto"/>
          <w:kern w:val="0"/>
          <w:sz w:val="24"/>
          <w:szCs w:val="24"/>
          <w:highlight w:val="none"/>
          <w:shd w:val="clear" w:color="auto" w:fill="FFFFFF"/>
          <w:lang w:eastAsia="zh-CN"/>
        </w:rPr>
      </w:pPr>
      <w:r>
        <w:rPr>
          <w:rFonts w:hint="eastAsia"/>
          <w:color w:val="auto"/>
          <w:kern w:val="0"/>
          <w:sz w:val="24"/>
          <w:szCs w:val="24"/>
          <w:highlight w:val="none"/>
          <w:shd w:val="clear" w:color="auto" w:fill="FFFFFF"/>
        </w:rPr>
        <w:t>本标准对一些</w:t>
      </w:r>
      <w:r>
        <w:rPr>
          <w:rFonts w:hint="eastAsia"/>
          <w:color w:val="auto"/>
          <w:kern w:val="0"/>
          <w:sz w:val="24"/>
          <w:szCs w:val="24"/>
          <w:highlight w:val="none"/>
          <w:shd w:val="clear" w:color="auto" w:fill="FFFFFF"/>
          <w:lang w:val="en-US" w:eastAsia="zh-CN"/>
        </w:rPr>
        <w:t>常用的物流</w:t>
      </w:r>
      <w:r>
        <w:rPr>
          <w:rFonts w:hint="eastAsia"/>
          <w:color w:val="auto"/>
          <w:kern w:val="0"/>
          <w:sz w:val="24"/>
          <w:szCs w:val="24"/>
          <w:highlight w:val="none"/>
          <w:shd w:val="clear" w:color="auto" w:fill="FFFFFF"/>
        </w:rPr>
        <w:t>术语</w:t>
      </w:r>
      <w:r>
        <w:rPr>
          <w:rFonts w:hint="eastAsia"/>
          <w:color w:val="auto"/>
          <w:kern w:val="0"/>
          <w:sz w:val="24"/>
          <w:szCs w:val="24"/>
          <w:highlight w:val="none"/>
          <w:shd w:val="clear" w:color="auto" w:fill="FFFFFF"/>
          <w:lang w:val="en-US" w:eastAsia="zh-CN"/>
        </w:rPr>
        <w:t>和</w:t>
      </w:r>
      <w:r>
        <w:rPr>
          <w:rFonts w:hint="eastAsia"/>
          <w:color w:val="auto"/>
          <w:kern w:val="0"/>
          <w:sz w:val="24"/>
          <w:szCs w:val="24"/>
          <w:highlight w:val="none"/>
          <w:shd w:val="clear" w:color="auto" w:fill="FFFFFF"/>
        </w:rPr>
        <w:t>定义，引用已有的国家标准。其中，本部分</w:t>
      </w:r>
      <w:r>
        <w:rPr>
          <w:rFonts w:hint="eastAsia"/>
          <w:color w:val="auto"/>
          <w:kern w:val="0"/>
          <w:sz w:val="24"/>
          <w:szCs w:val="24"/>
          <w:highlight w:val="none"/>
          <w:shd w:val="clear" w:color="auto" w:fill="FFFFFF"/>
          <w:lang w:eastAsia="zh-CN"/>
        </w:rPr>
        <w:t>对容易引起歧义的“客户”、“</w:t>
      </w:r>
      <w:r>
        <w:rPr>
          <w:rFonts w:hint="eastAsia"/>
          <w:color w:val="auto"/>
          <w:kern w:val="0"/>
          <w:sz w:val="24"/>
          <w:szCs w:val="24"/>
          <w:highlight w:val="none"/>
          <w:shd w:val="clear" w:color="auto" w:fill="FFFFFF"/>
          <w:lang w:val="en-US" w:eastAsia="zh-CN"/>
        </w:rPr>
        <w:t>有效投诉</w:t>
      </w:r>
      <w:r>
        <w:rPr>
          <w:rFonts w:hint="eastAsia"/>
          <w:color w:val="auto"/>
          <w:kern w:val="0"/>
          <w:sz w:val="24"/>
          <w:szCs w:val="24"/>
          <w:highlight w:val="none"/>
          <w:shd w:val="clear" w:color="auto" w:fill="FFFFFF"/>
          <w:lang w:eastAsia="zh-CN"/>
        </w:rPr>
        <w:t>”、“</w:t>
      </w:r>
      <w:r>
        <w:rPr>
          <w:rFonts w:hint="eastAsia"/>
          <w:color w:val="auto"/>
          <w:kern w:val="0"/>
          <w:sz w:val="24"/>
          <w:szCs w:val="24"/>
          <w:highlight w:val="none"/>
          <w:shd w:val="clear" w:color="auto" w:fill="FFFFFF"/>
          <w:lang w:val="en-US" w:eastAsia="zh-CN"/>
        </w:rPr>
        <w:t>货损</w:t>
      </w:r>
      <w:r>
        <w:rPr>
          <w:rFonts w:hint="eastAsia"/>
          <w:color w:val="auto"/>
          <w:kern w:val="0"/>
          <w:sz w:val="24"/>
          <w:szCs w:val="24"/>
          <w:highlight w:val="none"/>
          <w:shd w:val="clear" w:color="auto" w:fill="FFFFFF"/>
          <w:lang w:eastAsia="zh-CN"/>
        </w:rPr>
        <w:t>”这</w:t>
      </w:r>
      <w:r>
        <w:rPr>
          <w:rFonts w:hint="eastAsia"/>
          <w:color w:val="auto"/>
          <w:kern w:val="0"/>
          <w:sz w:val="24"/>
          <w:szCs w:val="24"/>
          <w:highlight w:val="none"/>
          <w:shd w:val="clear" w:color="auto" w:fill="FFFFFF"/>
          <w:lang w:val="en-US" w:eastAsia="zh-CN"/>
        </w:rPr>
        <w:t>三个</w:t>
      </w:r>
      <w:r>
        <w:rPr>
          <w:rFonts w:hint="eastAsia"/>
          <w:color w:val="auto"/>
          <w:kern w:val="0"/>
          <w:sz w:val="24"/>
          <w:szCs w:val="24"/>
          <w:highlight w:val="none"/>
          <w:shd w:val="clear" w:color="auto" w:fill="FFFFFF"/>
          <w:lang w:eastAsia="zh-CN"/>
        </w:rPr>
        <w:t>术语进行了定义。</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val="en-US" w:eastAsia="zh-CN"/>
        </w:rPr>
      </w:pPr>
      <w:r>
        <w:rPr>
          <w:rFonts w:hint="eastAsia" w:ascii="ˎ̥" w:hAnsi="ˎ̥"/>
          <w:b/>
          <w:color w:val="auto"/>
          <w:sz w:val="24"/>
          <w:highlight w:val="none"/>
          <w:lang w:val="en-US" w:eastAsia="zh-CN"/>
        </w:rPr>
        <w:t>（四）基本要求</w:t>
      </w:r>
    </w:p>
    <w:p>
      <w:pPr>
        <w:pStyle w:val="2"/>
        <w:rPr>
          <w:rFonts w:hint="eastAsia"/>
          <w:color w:val="auto"/>
          <w:kern w:val="0"/>
          <w:sz w:val="24"/>
          <w:szCs w:val="24"/>
          <w:highlight w:val="none"/>
          <w:shd w:val="clear" w:color="auto" w:fill="FFFFFF"/>
          <w:lang w:val="en-US" w:eastAsia="zh-CN"/>
        </w:rPr>
      </w:pPr>
      <w:r>
        <w:rPr>
          <w:rFonts w:hint="eastAsia"/>
          <w:color w:val="auto"/>
          <w:kern w:val="0"/>
          <w:sz w:val="24"/>
          <w:szCs w:val="24"/>
          <w:highlight w:val="none"/>
          <w:shd w:val="clear" w:color="auto" w:fill="FFFFFF"/>
          <w:lang w:val="en-US" w:eastAsia="zh-CN"/>
        </w:rPr>
        <w:t>本章对家具物流服务总则、安全性、时效性、准确性及客户满意度五方面提出了基本要求，确保家具物流服务满足客户的需求。</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val="en-US" w:eastAsia="zh-CN"/>
        </w:rPr>
      </w:pPr>
      <w:r>
        <w:rPr>
          <w:rFonts w:hint="eastAsia" w:ascii="ˎ̥" w:hAnsi="ˎ̥"/>
          <w:b/>
          <w:color w:val="auto"/>
          <w:sz w:val="24"/>
          <w:highlight w:val="none"/>
          <w:lang w:val="en-US" w:eastAsia="zh-CN"/>
        </w:rPr>
        <w:t>（四）服务流程</w:t>
      </w:r>
    </w:p>
    <w:p>
      <w:pPr>
        <w:pStyle w:val="2"/>
        <w:rPr>
          <w:rFonts w:hint="eastAsia"/>
          <w:color w:val="auto"/>
          <w:kern w:val="0"/>
          <w:sz w:val="24"/>
          <w:szCs w:val="24"/>
          <w:highlight w:val="none"/>
          <w:shd w:val="clear" w:color="auto" w:fill="FFFFFF"/>
          <w:lang w:val="en-US" w:eastAsia="zh-CN"/>
        </w:rPr>
      </w:pPr>
      <w:r>
        <w:rPr>
          <w:rFonts w:hint="eastAsia"/>
          <w:color w:val="auto"/>
          <w:kern w:val="0"/>
          <w:sz w:val="24"/>
          <w:szCs w:val="24"/>
          <w:highlight w:val="none"/>
          <w:shd w:val="clear" w:color="auto" w:fill="FFFFFF"/>
          <w:lang w:val="en-US" w:eastAsia="zh-CN"/>
        </w:rPr>
        <w:t>本章确定了家具物流服务的五个基本流程，包括签订合同、运单履行（含运单确认、仓储、运输、配送、安装环节）、客户回访、客户投诉及其他服务，并对每个流程提出了规范要求。</w:t>
      </w:r>
    </w:p>
    <w:p>
      <w:pPr>
        <w:autoSpaceDE w:val="0"/>
        <w:autoSpaceDN w:val="0"/>
        <w:adjustRightInd w:val="0"/>
        <w:snapToGrid w:val="0"/>
        <w:spacing w:before="62" w:beforeLines="20" w:after="62" w:afterLines="20" w:line="360" w:lineRule="auto"/>
        <w:ind w:firstLine="482" w:firstLineChars="200"/>
        <w:jc w:val="left"/>
        <w:rPr>
          <w:rFonts w:hint="eastAsia"/>
          <w:color w:val="auto"/>
          <w:szCs w:val="24"/>
          <w:highlight w:val="none"/>
          <w:lang w:val="en-US" w:eastAsia="zh-CN"/>
        </w:rPr>
      </w:pPr>
      <w:r>
        <w:rPr>
          <w:rFonts w:hint="eastAsia" w:ascii="ˎ̥" w:hAnsi="ˎ̥"/>
          <w:b/>
          <w:color w:val="auto"/>
          <w:sz w:val="24"/>
          <w:highlight w:val="none"/>
          <w:lang w:val="en-US" w:eastAsia="zh-CN"/>
        </w:rPr>
        <w:t>（五）实施保障</w:t>
      </w:r>
    </w:p>
    <w:p>
      <w:pPr>
        <w:pStyle w:val="2"/>
        <w:rPr>
          <w:rFonts w:hint="eastAsia"/>
          <w:color w:val="auto"/>
          <w:szCs w:val="24"/>
          <w:highlight w:val="none"/>
          <w:lang w:val="en-US" w:eastAsia="zh-CN"/>
        </w:rPr>
      </w:pPr>
      <w:r>
        <w:rPr>
          <w:rFonts w:hint="eastAsia"/>
          <w:color w:val="auto"/>
          <w:szCs w:val="24"/>
          <w:highlight w:val="none"/>
          <w:lang w:val="en-US" w:eastAsia="zh-CN"/>
        </w:rPr>
        <w:t>本章对人员要求、服务能力、服务合同管理、信息管理、安全和风险管理、应急管理提出了应执行的要求与办法。</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val="en-US" w:eastAsia="zh-CN"/>
        </w:rPr>
      </w:pPr>
      <w:r>
        <w:rPr>
          <w:rFonts w:hint="eastAsia" w:ascii="ˎ̥" w:hAnsi="ˎ̥"/>
          <w:b/>
          <w:color w:val="auto"/>
          <w:sz w:val="24"/>
          <w:highlight w:val="none"/>
          <w:lang w:val="en-US" w:eastAsia="zh-CN"/>
        </w:rPr>
        <w:t>（六）评价与改进</w:t>
      </w:r>
    </w:p>
    <w:p>
      <w:pPr>
        <w:pStyle w:val="2"/>
        <w:rPr>
          <w:rFonts w:hint="eastAsia"/>
          <w:color w:val="auto"/>
          <w:szCs w:val="24"/>
          <w:highlight w:val="none"/>
          <w:lang w:val="en-US" w:eastAsia="zh-CN"/>
        </w:rPr>
      </w:pPr>
      <w:r>
        <w:rPr>
          <w:rFonts w:hint="eastAsia"/>
          <w:color w:val="auto"/>
          <w:szCs w:val="24"/>
          <w:highlight w:val="none"/>
          <w:lang w:val="en-US" w:eastAsia="zh-CN"/>
        </w:rPr>
        <w:t>本章对评价方式、评价内容及持续改进提出了实施建议。</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val="en-US" w:eastAsia="zh-CN"/>
        </w:rPr>
      </w:pPr>
      <w:r>
        <w:rPr>
          <w:rFonts w:hint="eastAsia" w:ascii="ˎ̥" w:hAnsi="ˎ̥"/>
          <w:b/>
          <w:color w:val="auto"/>
          <w:sz w:val="24"/>
          <w:highlight w:val="none"/>
          <w:lang w:val="en-US" w:eastAsia="zh-CN"/>
        </w:rPr>
        <w:t>（七）服务质量指标</w:t>
      </w:r>
    </w:p>
    <w:p>
      <w:pPr>
        <w:pStyle w:val="2"/>
        <w:rPr>
          <w:rFonts w:hint="eastAsia"/>
          <w:color w:val="auto"/>
          <w:szCs w:val="24"/>
          <w:highlight w:val="none"/>
          <w:lang w:val="en-US" w:eastAsia="zh-CN"/>
        </w:rPr>
      </w:pPr>
      <w:r>
        <w:rPr>
          <w:rFonts w:hint="eastAsia"/>
          <w:color w:val="auto"/>
          <w:szCs w:val="24"/>
          <w:highlight w:val="none"/>
          <w:lang w:val="en-US" w:eastAsia="zh-CN"/>
        </w:rPr>
        <w:t>本章根据家具物流服务的“安全性”、“时效性”、“准确性”、“客户满意度”四项基本要求，给出了家具物流服务中仓储、运输、配送、安装环节中需进行质量评价的指标，包括收货及时率、收货准确率、交付及时率、交付准确率、货损率、货差率、回单及时率、安装服务满意度、客户有效投诉率、客户满意度共10项评价指标，并给出了各指标的计算公式。</w:t>
      </w:r>
    </w:p>
    <w:p>
      <w:pPr>
        <w:pStyle w:val="2"/>
        <w:numPr>
          <w:ilvl w:val="0"/>
          <w:numId w:val="3"/>
        </w:numPr>
        <w:rPr>
          <w:rFonts w:hint="eastAsia" w:ascii="ˎ̥" w:hAnsi="ˎ̥" w:cs="Times New Roman"/>
          <w:b/>
          <w:color w:val="auto"/>
          <w:kern w:val="2"/>
          <w:sz w:val="24"/>
          <w:szCs w:val="22"/>
          <w:highlight w:val="none"/>
          <w:lang w:val="en-US" w:eastAsia="zh-CN" w:bidi="ar-SA"/>
        </w:rPr>
      </w:pPr>
      <w:r>
        <w:rPr>
          <w:rFonts w:hint="eastAsia" w:ascii="ˎ̥" w:hAnsi="ˎ̥" w:cs="Times New Roman"/>
          <w:b/>
          <w:color w:val="auto"/>
          <w:kern w:val="2"/>
          <w:sz w:val="24"/>
          <w:szCs w:val="22"/>
          <w:highlight w:val="none"/>
          <w:lang w:val="en-US" w:eastAsia="zh-CN" w:bidi="ar-SA"/>
        </w:rPr>
        <w:t>附录A</w:t>
      </w:r>
    </w:p>
    <w:p>
      <w:pPr>
        <w:pStyle w:val="2"/>
        <w:rPr>
          <w:rFonts w:hint="eastAsia"/>
          <w:color w:val="auto"/>
          <w:szCs w:val="24"/>
          <w:highlight w:val="none"/>
          <w:lang w:val="en-US" w:eastAsia="zh-CN"/>
        </w:rPr>
      </w:pPr>
      <w:r>
        <w:rPr>
          <w:rFonts w:hint="eastAsia"/>
          <w:color w:val="auto"/>
          <w:szCs w:val="24"/>
          <w:highlight w:val="none"/>
          <w:lang w:val="en-US" w:eastAsia="zh-CN"/>
        </w:rPr>
        <w:t>附录A中给出了收货及时率、收货准确率、交付及时率、交付准确率、货损率、货差率、回单及时率、安装服务满意度、客户有效投诉率、客户满意度共10项评价指标的参考值，并设了A、B、C三个等级，其中A级为最高要求。</w:t>
      </w:r>
    </w:p>
    <w:p>
      <w:pPr>
        <w:autoSpaceDE w:val="0"/>
        <w:autoSpaceDN w:val="0"/>
        <w:adjustRightInd w:val="0"/>
        <w:snapToGrid w:val="0"/>
        <w:spacing w:before="62" w:beforeLines="20" w:after="62" w:afterLines="20" w:line="360" w:lineRule="auto"/>
        <w:ind w:firstLine="482" w:firstLineChars="200"/>
        <w:jc w:val="left"/>
        <w:rPr>
          <w:rFonts w:hint="eastAsia" w:ascii="ˎ̥" w:hAnsi="ˎ̥"/>
          <w:b/>
          <w:color w:val="auto"/>
          <w:sz w:val="24"/>
          <w:highlight w:val="none"/>
          <w:lang w:val="en-US" w:eastAsia="zh-CN"/>
        </w:rPr>
      </w:pPr>
      <w:r>
        <w:rPr>
          <w:rFonts w:hint="eastAsia" w:ascii="ˎ̥" w:hAnsi="ˎ̥"/>
          <w:b/>
          <w:color w:val="auto"/>
          <w:sz w:val="24"/>
          <w:highlight w:val="none"/>
          <w:lang w:val="en-US" w:eastAsia="zh-CN"/>
        </w:rPr>
        <w:t>3.3  标准主要指标解释</w:t>
      </w:r>
    </w:p>
    <w:p>
      <w:pPr>
        <w:pStyle w:val="2"/>
        <w:rPr>
          <w:rFonts w:hint="eastAsia"/>
          <w:color w:val="auto"/>
          <w:szCs w:val="24"/>
          <w:highlight w:val="none"/>
          <w:lang w:val="en-US" w:eastAsia="zh-CN"/>
        </w:rPr>
      </w:pPr>
      <w:r>
        <w:rPr>
          <w:rFonts w:hint="eastAsia"/>
          <w:color w:val="auto"/>
          <w:szCs w:val="24"/>
          <w:highlight w:val="none"/>
          <w:lang w:val="en-US" w:eastAsia="zh-CN"/>
        </w:rPr>
        <w:t>《家具物流服务质量规范》的核心是确定可操作、可考核的服务质量评价指标。在标准第一稿中对服务流程一章详细列出了家具物流各环节须遵守的规则与操作规范，并在服务质量指标一章对各物流环节提炼出31项评价指标，并给出了指标参考值。但在开展行业调研及标准研讨过程中，部分企业和专家提出服务流程不应规定企业的操作行为，应该给出指导性原则和要求，至于企业采取何种方法达到要求的，不需在标准里规范出来，因而在标准征求意见稿中对服务流程一章的内容进行从新调整，剔除具体的操作规范，给出了家具物流服务流程应具有的基本服务要求。</w:t>
      </w:r>
    </w:p>
    <w:p>
      <w:pPr>
        <w:pStyle w:val="2"/>
        <w:rPr>
          <w:rFonts w:hint="eastAsia"/>
          <w:color w:val="auto"/>
          <w:sz w:val="24"/>
          <w:szCs w:val="24"/>
          <w:highlight w:val="none"/>
          <w:lang w:eastAsia="zh-CN"/>
        </w:rPr>
      </w:pPr>
      <w:r>
        <w:rPr>
          <w:rFonts w:hint="eastAsia"/>
          <w:color w:val="auto"/>
          <w:szCs w:val="24"/>
          <w:highlight w:val="none"/>
          <w:lang w:val="en-US" w:eastAsia="zh-CN"/>
        </w:rPr>
        <w:t>在服务质量指标一章中，根据企业及客户实际关注的评价指标，对难以计算或没有评价意义的指标进行删减，最终保留了较常用的、客户关注度较高的、便于统计的10项评价指标。同时，对于给出的指标参考值，由于不同地区、不同的家具物流企业其发展水平高低不同，很难用具体的指标衡量其服务质量的好与坏。只能制定出一些指引性的目标，推动企业努力朝目标前进、发展。因而标准起草小组经过走访不同地区的家具物流企业，收集其对指标的意见和建议，综合各企业的服务水平，最终设置了三个等级（见下表1），在资料性附录中体现 ，给</w:t>
      </w:r>
      <w:r>
        <w:rPr>
          <w:rFonts w:hint="eastAsia"/>
          <w:color w:val="auto"/>
          <w:sz w:val="24"/>
          <w:szCs w:val="24"/>
          <w:highlight w:val="none"/>
        </w:rPr>
        <w:t>广大家具</w:t>
      </w:r>
      <w:r>
        <w:rPr>
          <w:rFonts w:hint="eastAsia"/>
          <w:color w:val="auto"/>
          <w:sz w:val="24"/>
          <w:szCs w:val="24"/>
          <w:highlight w:val="none"/>
          <w:lang w:eastAsia="zh-CN"/>
        </w:rPr>
        <w:t>企业</w:t>
      </w:r>
      <w:r>
        <w:rPr>
          <w:rFonts w:hint="eastAsia"/>
          <w:color w:val="auto"/>
          <w:sz w:val="24"/>
          <w:szCs w:val="24"/>
          <w:highlight w:val="none"/>
        </w:rPr>
        <w:t>、家具物流</w:t>
      </w:r>
      <w:r>
        <w:rPr>
          <w:rFonts w:hint="eastAsia"/>
          <w:color w:val="auto"/>
          <w:sz w:val="24"/>
          <w:szCs w:val="24"/>
          <w:highlight w:val="none"/>
          <w:lang w:eastAsia="zh-CN"/>
        </w:rPr>
        <w:t>企业</w:t>
      </w:r>
      <w:r>
        <w:rPr>
          <w:rFonts w:hint="eastAsia"/>
          <w:color w:val="auto"/>
          <w:sz w:val="24"/>
          <w:szCs w:val="24"/>
          <w:highlight w:val="none"/>
        </w:rPr>
        <w:t>、家具电商企业</w:t>
      </w:r>
      <w:r>
        <w:rPr>
          <w:rFonts w:hint="eastAsia"/>
          <w:color w:val="auto"/>
          <w:sz w:val="24"/>
          <w:szCs w:val="24"/>
          <w:highlight w:val="none"/>
          <w:lang w:eastAsia="zh-CN"/>
        </w:rPr>
        <w:t>及终端消费者</w:t>
      </w:r>
      <w:r>
        <w:rPr>
          <w:rFonts w:hint="eastAsia"/>
          <w:color w:val="auto"/>
          <w:sz w:val="24"/>
          <w:szCs w:val="24"/>
          <w:highlight w:val="none"/>
        </w:rPr>
        <w:t>提供</w:t>
      </w:r>
      <w:r>
        <w:rPr>
          <w:rFonts w:hint="eastAsia"/>
          <w:color w:val="auto"/>
          <w:sz w:val="24"/>
          <w:szCs w:val="24"/>
          <w:highlight w:val="none"/>
          <w:lang w:eastAsia="zh-CN"/>
        </w:rPr>
        <w:t>参考。</w:t>
      </w:r>
    </w:p>
    <w:p>
      <w:pPr>
        <w:pStyle w:val="11"/>
        <w:numPr>
          <w:ilvl w:val="0"/>
          <w:numId w:val="0"/>
        </w:numPr>
        <w:rPr>
          <w:rFonts w:hint="eastAsia" w:hAnsi="宋体"/>
          <w:color w:val="auto"/>
          <w:highlight w:val="none"/>
          <w:lang w:val="en-US" w:eastAsia="zh-CN"/>
        </w:rPr>
      </w:pPr>
      <w:r>
        <w:rPr>
          <w:rFonts w:hint="eastAsia" w:hAnsi="宋体"/>
          <w:color w:val="auto"/>
          <w:highlight w:val="none"/>
        </w:rPr>
        <w:t xml:space="preserve">表1  </w:t>
      </w:r>
      <w:r>
        <w:rPr>
          <w:rFonts w:hint="eastAsia" w:hAnsi="宋体"/>
          <w:color w:val="auto"/>
          <w:highlight w:val="none"/>
          <w:lang w:val="en-US" w:eastAsia="zh-CN"/>
        </w:rPr>
        <w:t>家具物流服务质量评价指标参考值</w:t>
      </w:r>
    </w:p>
    <w:tbl>
      <w:tblPr>
        <w:tblStyle w:val="6"/>
        <w:tblW w:w="9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2264"/>
        <w:gridCol w:w="1921"/>
        <w:gridCol w:w="2023"/>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1297" w:type="dxa"/>
            <w:vMerge w:val="restart"/>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指标分类</w:t>
            </w:r>
          </w:p>
        </w:tc>
        <w:tc>
          <w:tcPr>
            <w:tcW w:w="2264" w:type="dxa"/>
            <w:vMerge w:val="restart"/>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指标名称</w:t>
            </w:r>
          </w:p>
        </w:tc>
        <w:tc>
          <w:tcPr>
            <w:tcW w:w="5958" w:type="dxa"/>
            <w:gridSpan w:val="3"/>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指标参考值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1297" w:type="dxa"/>
            <w:vMerge w:val="continue"/>
            <w:vAlign w:val="center"/>
          </w:tcPr>
          <w:p>
            <w:pPr>
              <w:jc w:val="center"/>
              <w:rPr>
                <w:color w:val="auto"/>
                <w:highlight w:val="none"/>
              </w:rPr>
            </w:pPr>
          </w:p>
        </w:tc>
        <w:tc>
          <w:tcPr>
            <w:tcW w:w="2264" w:type="dxa"/>
            <w:vMerge w:val="continue"/>
            <w:vAlign w:val="center"/>
          </w:tcPr>
          <w:p>
            <w:pPr>
              <w:jc w:val="center"/>
              <w:rPr>
                <w:color w:val="auto"/>
                <w:highlight w:val="none"/>
              </w:rPr>
            </w:pP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restart"/>
            <w:vAlign w:val="center"/>
          </w:tcPr>
          <w:p>
            <w:pPr>
              <w:jc w:val="center"/>
              <w:rPr>
                <w:rFonts w:hint="eastAsia" w:ascii="宋体"/>
                <w:color w:val="auto"/>
                <w:sz w:val="18"/>
                <w:highlight w:val="none"/>
              </w:rPr>
            </w:pPr>
            <w:r>
              <w:rPr>
                <w:rFonts w:hint="eastAsia" w:ascii="宋体" w:hAnsi="宋体" w:cs="宋体"/>
                <w:color w:val="auto"/>
                <w:kern w:val="0"/>
                <w:sz w:val="18"/>
                <w:szCs w:val="18"/>
                <w:highlight w:val="none"/>
              </w:rPr>
              <w:t>时效性指标</w:t>
            </w:r>
          </w:p>
        </w:tc>
        <w:tc>
          <w:tcPr>
            <w:tcW w:w="2264" w:type="dxa"/>
            <w:vAlign w:val="center"/>
          </w:tcPr>
          <w:p>
            <w:pPr>
              <w:jc w:val="center"/>
              <w:rPr>
                <w:rFonts w:hint="eastAsia" w:ascii="宋体"/>
                <w:color w:val="auto"/>
                <w:sz w:val="18"/>
                <w:highlight w:val="none"/>
              </w:rPr>
            </w:pPr>
            <w:r>
              <w:rPr>
                <w:rFonts w:hint="eastAsia" w:ascii="宋体" w:hAnsi="宋体" w:cs="宋体"/>
                <w:color w:val="auto"/>
                <w:kern w:val="0"/>
                <w:sz w:val="18"/>
                <w:szCs w:val="18"/>
                <w:highlight w:val="none"/>
              </w:rPr>
              <w:t>收货及时率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≥99.0%</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≥95.0%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continue"/>
            <w:vAlign w:val="center"/>
          </w:tcPr>
          <w:p>
            <w:pPr>
              <w:jc w:val="center"/>
              <w:rPr>
                <w:rFonts w:hint="eastAsia" w:ascii="宋体" w:hAnsi="宋体" w:cs="宋体"/>
                <w:color w:val="auto"/>
                <w:kern w:val="0"/>
                <w:sz w:val="18"/>
                <w:szCs w:val="18"/>
                <w:highlight w:val="none"/>
              </w:rPr>
            </w:pPr>
          </w:p>
        </w:tc>
        <w:tc>
          <w:tcPr>
            <w:tcW w:w="226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交付及时率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≥98.0%</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≥90.0%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continue"/>
            <w:vAlign w:val="center"/>
          </w:tcPr>
          <w:p>
            <w:pPr>
              <w:jc w:val="center"/>
              <w:rPr>
                <w:rFonts w:hint="eastAsia" w:ascii="宋体" w:hAnsi="宋体" w:cs="宋体"/>
                <w:color w:val="auto"/>
                <w:kern w:val="0"/>
                <w:sz w:val="18"/>
                <w:szCs w:val="18"/>
                <w:highlight w:val="none"/>
              </w:rPr>
            </w:pPr>
          </w:p>
        </w:tc>
        <w:tc>
          <w:tcPr>
            <w:tcW w:w="226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回单及时率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≥95.0%</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≥90.0%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Align w:val="center"/>
          </w:tcPr>
          <w:p>
            <w:pPr>
              <w:jc w:val="center"/>
              <w:rPr>
                <w:rFonts w:hint="eastAsia" w:ascii="宋体"/>
                <w:color w:val="auto"/>
                <w:sz w:val="18"/>
                <w:highlight w:val="none"/>
              </w:rPr>
            </w:pPr>
            <w:r>
              <w:rPr>
                <w:rFonts w:hint="eastAsia" w:ascii="宋体" w:hAnsi="宋体" w:cs="宋体"/>
                <w:color w:val="auto"/>
                <w:kern w:val="0"/>
                <w:sz w:val="18"/>
                <w:szCs w:val="18"/>
                <w:highlight w:val="none"/>
              </w:rPr>
              <w:t>安全性指标</w:t>
            </w:r>
          </w:p>
        </w:tc>
        <w:tc>
          <w:tcPr>
            <w:tcW w:w="2264" w:type="dxa"/>
            <w:vAlign w:val="center"/>
          </w:tcPr>
          <w:p>
            <w:pPr>
              <w:jc w:val="center"/>
              <w:rPr>
                <w:rFonts w:hint="eastAsia" w:ascii="宋体"/>
                <w:color w:val="auto"/>
                <w:sz w:val="18"/>
                <w:highlight w:val="none"/>
              </w:rPr>
            </w:pPr>
            <w:r>
              <w:rPr>
                <w:rFonts w:hint="eastAsia" w:ascii="宋体" w:hAnsi="宋体" w:cs="宋体"/>
                <w:color w:val="auto"/>
                <w:kern w:val="0"/>
                <w:sz w:val="18"/>
                <w:szCs w:val="18"/>
                <w:highlight w:val="none"/>
              </w:rPr>
              <w:t>货损率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≤3.0%</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≤5.0%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restart"/>
            <w:vAlign w:val="center"/>
          </w:tcPr>
          <w:p>
            <w:pPr>
              <w:jc w:val="center"/>
              <w:rPr>
                <w:rFonts w:hint="eastAsia" w:ascii="宋体"/>
                <w:color w:val="auto"/>
                <w:sz w:val="18"/>
                <w:highlight w:val="none"/>
              </w:rPr>
            </w:pPr>
            <w:r>
              <w:rPr>
                <w:rFonts w:hint="eastAsia" w:ascii="宋体" w:hAnsi="宋体" w:cs="宋体"/>
                <w:color w:val="auto"/>
                <w:kern w:val="0"/>
                <w:sz w:val="18"/>
                <w:szCs w:val="18"/>
                <w:highlight w:val="none"/>
              </w:rPr>
              <w:t>准确性指标</w:t>
            </w:r>
          </w:p>
        </w:tc>
        <w:tc>
          <w:tcPr>
            <w:tcW w:w="226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收货准确率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≥99.9%</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≥99.5%</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continue"/>
            <w:vAlign w:val="center"/>
          </w:tcPr>
          <w:p>
            <w:pPr>
              <w:jc w:val="center"/>
              <w:rPr>
                <w:rFonts w:hint="eastAsia" w:ascii="宋体"/>
                <w:color w:val="auto"/>
                <w:sz w:val="18"/>
                <w:highlight w:val="none"/>
              </w:rPr>
            </w:pPr>
          </w:p>
        </w:tc>
        <w:tc>
          <w:tcPr>
            <w:tcW w:w="226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交付准确率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≥99.9%</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≥99.0%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continue"/>
            <w:vAlign w:val="center"/>
          </w:tcPr>
          <w:p>
            <w:pPr>
              <w:jc w:val="center"/>
              <w:rPr>
                <w:rFonts w:hint="eastAsia" w:ascii="宋体" w:hAnsi="宋体" w:cs="宋体"/>
                <w:color w:val="auto"/>
                <w:kern w:val="0"/>
                <w:sz w:val="18"/>
                <w:szCs w:val="18"/>
                <w:highlight w:val="none"/>
              </w:rPr>
            </w:pPr>
          </w:p>
        </w:tc>
        <w:tc>
          <w:tcPr>
            <w:tcW w:w="226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货差率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restart"/>
            <w:vAlign w:val="center"/>
          </w:tcPr>
          <w:p>
            <w:pPr>
              <w:jc w:val="center"/>
              <w:rPr>
                <w:rFonts w:hint="eastAsia" w:ascii="宋体"/>
                <w:color w:val="auto"/>
                <w:sz w:val="18"/>
                <w:highlight w:val="none"/>
              </w:rPr>
            </w:pPr>
            <w:r>
              <w:rPr>
                <w:rFonts w:hint="eastAsia" w:ascii="宋体" w:hAnsi="宋体" w:cs="宋体"/>
                <w:color w:val="auto"/>
                <w:kern w:val="0"/>
                <w:sz w:val="18"/>
                <w:szCs w:val="18"/>
                <w:highlight w:val="none"/>
              </w:rPr>
              <w:t>客户满意度指标</w:t>
            </w:r>
          </w:p>
        </w:tc>
        <w:tc>
          <w:tcPr>
            <w:tcW w:w="226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安装服务满意度</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≥98.0%</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≥96.0%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continue"/>
            <w:vAlign w:val="center"/>
          </w:tcPr>
          <w:p>
            <w:pPr>
              <w:jc w:val="center"/>
              <w:rPr>
                <w:rFonts w:hint="eastAsia" w:ascii="宋体"/>
                <w:color w:val="auto"/>
                <w:sz w:val="18"/>
                <w:highlight w:val="none"/>
              </w:rPr>
            </w:pPr>
          </w:p>
        </w:tc>
        <w:tc>
          <w:tcPr>
            <w:tcW w:w="2264" w:type="dxa"/>
            <w:vAlign w:val="center"/>
          </w:tcPr>
          <w:p>
            <w:pPr>
              <w:jc w:val="center"/>
              <w:rPr>
                <w:rFonts w:hint="eastAsia" w:ascii="宋体"/>
                <w:color w:val="auto"/>
                <w:sz w:val="18"/>
                <w:highlight w:val="none"/>
              </w:rPr>
            </w:pPr>
            <w:r>
              <w:rPr>
                <w:rFonts w:hint="eastAsia" w:ascii="宋体" w:hAnsi="宋体" w:cs="宋体"/>
                <w:color w:val="auto"/>
                <w:kern w:val="0"/>
                <w:sz w:val="18"/>
                <w:szCs w:val="18"/>
                <w:highlight w:val="none"/>
              </w:rPr>
              <w:t>客户有效投诉率</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≤1.5%</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7" w:type="dxa"/>
            <w:vMerge w:val="continue"/>
            <w:vAlign w:val="center"/>
          </w:tcPr>
          <w:p>
            <w:pPr>
              <w:jc w:val="center"/>
              <w:rPr>
                <w:rFonts w:hint="eastAsia" w:ascii="宋体"/>
                <w:color w:val="auto"/>
                <w:sz w:val="18"/>
                <w:highlight w:val="none"/>
              </w:rPr>
            </w:pPr>
          </w:p>
        </w:tc>
        <w:tc>
          <w:tcPr>
            <w:tcW w:w="226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客户满意度</w:t>
            </w:r>
          </w:p>
        </w:tc>
        <w:tc>
          <w:tcPr>
            <w:tcW w:w="1921"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≥98.0%</w:t>
            </w:r>
          </w:p>
        </w:tc>
        <w:tc>
          <w:tcPr>
            <w:tcW w:w="2023"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≥95.0%</w:t>
            </w:r>
          </w:p>
        </w:tc>
        <w:tc>
          <w:tcPr>
            <w:tcW w:w="2014" w:type="dxa"/>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≥90.0%</w:t>
            </w:r>
          </w:p>
        </w:tc>
      </w:tr>
    </w:tbl>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4  </w:t>
      </w:r>
      <w:r>
        <w:rPr>
          <w:rFonts w:hint="eastAsia" w:ascii="宋体" w:hAnsi="宋体"/>
          <w:b/>
          <w:color w:val="auto"/>
          <w:kern w:val="0"/>
          <w:sz w:val="24"/>
          <w:highlight w:val="none"/>
        </w:rPr>
        <w:t>主要试验（或验证）情况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highlight w:val="none"/>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color w:val="auto"/>
          <w:sz w:val="24"/>
          <w:szCs w:val="24"/>
          <w:highlight w:val="none"/>
          <w:lang w:val="en-US" w:eastAsia="zh-CN"/>
        </w:rPr>
        <w:t>本标准在附录A中，标准对收货及时率、收货准确率、交付及时率、交付准确率、货损率、货差率、回单及时率、安装服务满意度、客户有效投诉率、客户满意度共10项评价指标设置了A、B、C三个等级，其中A级为服务质量最高的要求。为了验证大部分企业是否能达到相关的指标值，标准起草小组</w:t>
      </w:r>
      <w:r>
        <w:rPr>
          <w:rFonts w:hint="eastAsia" w:ascii="宋体" w:hAnsi="宋体" w:cs="宋体"/>
          <w:color w:val="auto"/>
          <w:sz w:val="24"/>
          <w:szCs w:val="24"/>
          <w:highlight w:val="none"/>
          <w:lang w:val="en-US" w:eastAsia="zh-CN"/>
        </w:rPr>
        <w:t>随机抽取10</w:t>
      </w:r>
      <w:r>
        <w:rPr>
          <w:rFonts w:hint="eastAsia" w:ascii="宋体" w:hAnsi="宋体" w:eastAsia="宋体" w:cs="宋体"/>
          <w:color w:val="auto"/>
          <w:sz w:val="24"/>
          <w:szCs w:val="24"/>
          <w:highlight w:val="none"/>
          <w:lang w:val="en-US" w:eastAsia="zh-CN"/>
        </w:rPr>
        <w:t>家企业，收集其在2016年度第四季度的运单数据，计算其1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lang w:val="en-US" w:eastAsia="zh-CN"/>
        </w:rPr>
        <w:t>项指标的真实情况，具体如下</w:t>
      </w:r>
      <w:r>
        <w:rPr>
          <w:rFonts w:hint="eastAsia" w:ascii="宋体" w:hAnsi="宋体" w:cs="宋体"/>
          <w:color w:val="auto"/>
          <w:sz w:val="24"/>
          <w:szCs w:val="24"/>
          <w:highlight w:val="none"/>
          <w:lang w:val="en-US" w:eastAsia="zh-CN"/>
        </w:rPr>
        <w:t>表2</w:t>
      </w:r>
      <w:r>
        <w:rPr>
          <w:rFonts w:hint="eastAsia" w:ascii="宋体" w:hAnsi="宋体" w:eastAsia="宋体" w:cs="宋体"/>
          <w:color w:val="auto"/>
          <w:sz w:val="24"/>
          <w:szCs w:val="24"/>
          <w:highlight w:val="none"/>
          <w:lang w:val="en-US" w:eastAsia="zh-CN"/>
        </w:rPr>
        <w:t>：</w:t>
      </w:r>
    </w:p>
    <w:p>
      <w:pPr>
        <w:pStyle w:val="11"/>
        <w:numPr>
          <w:ilvl w:val="0"/>
          <w:numId w:val="0"/>
        </w:numPr>
        <w:ind w:left="-619" w:leftChars="-295" w:firstLine="0" w:firstLineChars="0"/>
        <w:rPr>
          <w:rFonts w:hint="eastAsia" w:hAnsi="宋体"/>
          <w:color w:val="auto"/>
          <w:highlight w:val="none"/>
          <w:lang w:val="en-US" w:eastAsia="zh-CN"/>
        </w:rPr>
      </w:pPr>
      <w:r>
        <w:rPr>
          <w:rFonts w:hint="eastAsia" w:hAnsi="宋体"/>
          <w:color w:val="auto"/>
          <w:highlight w:val="none"/>
          <w:lang w:val="en-US" w:eastAsia="zh-CN"/>
        </w:rPr>
        <w:t>表2 家具物流企业服务质量统计表</w:t>
      </w:r>
    </w:p>
    <w:tbl>
      <w:tblPr>
        <w:tblStyle w:val="7"/>
        <w:tblW w:w="16236" w:type="dxa"/>
        <w:jc w:val="center"/>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697"/>
        <w:gridCol w:w="705"/>
        <w:gridCol w:w="780"/>
        <w:gridCol w:w="750"/>
        <w:gridCol w:w="720"/>
        <w:gridCol w:w="810"/>
        <w:gridCol w:w="750"/>
        <w:gridCol w:w="765"/>
        <w:gridCol w:w="780"/>
        <w:gridCol w:w="780"/>
        <w:gridCol w:w="870"/>
        <w:gridCol w:w="747"/>
        <w:gridCol w:w="747"/>
        <w:gridCol w:w="747"/>
        <w:gridCol w:w="747"/>
        <w:gridCol w:w="747"/>
        <w:gridCol w:w="747"/>
        <w:gridCol w:w="747"/>
        <w:gridCol w:w="736"/>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Merge w:val="restart"/>
            <w:vAlign w:val="top"/>
          </w:tcPr>
          <w:p>
            <w:pPr>
              <w:jc w:val="right"/>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color w:val="auto"/>
                <w:sz w:val="18"/>
                <w:szCs w:val="18"/>
                <w:highlight w:val="none"/>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12700</wp:posOffset>
                      </wp:positionV>
                      <wp:extent cx="726440" cy="353695"/>
                      <wp:effectExtent l="1905" t="4445" r="14605" b="3810"/>
                      <wp:wrapNone/>
                      <wp:docPr id="3" name="直接连接符 3"/>
                      <wp:cNvGraphicFramePr/>
                      <a:graphic xmlns:a="http://schemas.openxmlformats.org/drawingml/2006/main">
                        <a:graphicData uri="http://schemas.microsoft.com/office/word/2010/wordprocessingShape">
                          <wps:wsp>
                            <wps:cNvCnPr/>
                            <wps:spPr>
                              <a:xfrm>
                                <a:off x="737235" y="5600700"/>
                                <a:ext cx="726440" cy="353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pt;margin-top:1pt;height:27.85pt;width:57.2pt;z-index:251658240;mso-width-relative:page;mso-height-relative:page;" filled="f" stroked="t" coordsize="21600,21600" o:gfxdata="UEsDBAoAAAAAAIdO4kAAAAAAAAAAAAAAAAAEAAAAZHJzL1BLAwQUAAAACACHTuJAM6kO7dYAAAAI&#10;AQAADwAAAGRycy9kb3ducmV2LnhtbE2PsU7DMBCGdyTewTokttZOVUgV4nRAYkBCAgIDoxtf44B9&#10;DrabhLfHnWA6nf7Td99f7xdn2YQhDp4kFGsBDKnzeqBewvvbw2oHLCZFWllPKOEHI+yby4taVdrP&#10;9IpTm3qWIRQrJcGkNFacx86gU3HtR6ScHX1wKuU19FwHNWe4s3wjxC13aqD8wagR7w12X+3JZQqV&#10;38fFho+X5yeza+dPfJxKlPL6qhB3wBIu6e8YzvpZHZrsdPAn0pFZCatC5C5JwiaPcy62W2AHCTdl&#10;Cbyp+f8CzS9QSwMEFAAAAAgAh07iQGlyO07XAQAAcgMAAA4AAABkcnMvZTJvRG9jLnhtbK1TTW4T&#10;MRTeI3EHy3sy00wnKaM4XTQqGwSRoAd48XhmLPlPtskkl+ACSOxgxZI9t2k5Rp+doS2wQ8zijf1+&#10;Pr/v8/Pq8qAV2QsfpDWMns1KSoThtpWmZ/Tm/fWLC0pCBNOCskYwehSBXq6fP1uNrhFzO1jVCk8Q&#10;xIRmdIwOMbqmKAIfhIYws04YDHbWa4i49X3RehgRXatiXpaLYrS+dd5yEQJ6N6cgXWf8rhM8vu26&#10;ICJRjGJvMVuf7S7ZYr2CpvfgBsmnNuAfutAgDR76ALWBCOSDl39Bacm9DbaLM251YbtOcpE5IJuz&#10;8g827wZwInNBcYJ7kCn8P1j+Zr/1RLaMVpQY0HhFd5++33788vPHZ7R3376SKok0utBg7pXZ+mkX&#10;3NYnxofO6/RHLuTA6LJazquakiOj9aIsl+WksThEwlN8vjg/x5vgmFDV1eJlneCLRxznQ3wlrCZp&#10;waiSJkkADexfh3hK/ZWS3MZeS6XQD40yZGR0UdUJHnCYOgURl9ohvWB6SkD1OKU8+owYrJJtqk7F&#10;wfe7K+XJHtKk5G9q7Le0dPQGwnDKy6GUBo2WEQdZSc3oxdNqZZBdUu+kV1rtbHvMMmY/XmzmPw1h&#10;mpyn+1z9+FTW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OpDu3WAAAACAEAAA8AAAAAAAAAAQAg&#10;AAAAIgAAAGRycy9kb3ducmV2LnhtbFBLAQIUABQAAAAIAIdO4kBpcjtO1wEAAHIDAAAOAAAAAAAA&#10;AAEAIAAAACUBAABkcnMvZTJvRG9jLnhtbFBLBQYAAAAABgAGAFkBAABuBQAAAAA=&#10;">
                      <v:fill on="f" focussize="0,0"/>
                      <v:stroke weight="0.5pt" color="#000000 [3213]" miterlimit="8" joinstyle="miter"/>
                      <v:imagedata o:title=""/>
                      <o:lock v:ext="edit" aspectratio="f"/>
                    </v:line>
                  </w:pict>
                </mc:Fallback>
              </mc:AlternateContent>
            </w:r>
            <w:r>
              <w:rPr>
                <w:rFonts w:hint="eastAsia" w:ascii="宋体" w:hAnsi="宋体" w:eastAsia="宋体" w:cs="宋体"/>
                <w:b w:val="0"/>
                <w:bCs w:val="0"/>
                <w:color w:val="auto"/>
                <w:sz w:val="18"/>
                <w:szCs w:val="18"/>
                <w:highlight w:val="none"/>
                <w:lang w:eastAsia="zh-CN"/>
              </w:rPr>
              <w:t>季度</w:t>
            </w:r>
          </w:p>
          <w:p>
            <w:pPr>
              <w:jc w:val="left"/>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统计内容</w:t>
            </w:r>
          </w:p>
        </w:tc>
        <w:tc>
          <w:tcPr>
            <w:tcW w:w="1402"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A企业</w:t>
            </w:r>
          </w:p>
        </w:tc>
        <w:tc>
          <w:tcPr>
            <w:tcW w:w="1530"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B企业</w:t>
            </w:r>
          </w:p>
        </w:tc>
        <w:tc>
          <w:tcPr>
            <w:tcW w:w="1530"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C企业</w:t>
            </w:r>
          </w:p>
        </w:tc>
        <w:tc>
          <w:tcPr>
            <w:tcW w:w="1515"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D企业</w:t>
            </w:r>
          </w:p>
        </w:tc>
        <w:tc>
          <w:tcPr>
            <w:tcW w:w="1560"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E企业</w:t>
            </w:r>
          </w:p>
        </w:tc>
        <w:tc>
          <w:tcPr>
            <w:tcW w:w="1617"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F企业</w:t>
            </w:r>
          </w:p>
        </w:tc>
        <w:tc>
          <w:tcPr>
            <w:tcW w:w="1494"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G企业</w:t>
            </w:r>
          </w:p>
        </w:tc>
        <w:tc>
          <w:tcPr>
            <w:tcW w:w="1494"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H企业</w:t>
            </w:r>
          </w:p>
        </w:tc>
        <w:tc>
          <w:tcPr>
            <w:tcW w:w="1494"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I企业</w:t>
            </w:r>
          </w:p>
        </w:tc>
        <w:tc>
          <w:tcPr>
            <w:tcW w:w="1470" w:type="dxa"/>
            <w:gridSpan w:val="2"/>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J企业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Merge w:val="continue"/>
            <w:vAlign w:val="top"/>
          </w:tcPr>
          <w:p>
            <w:pPr>
              <w:jc w:val="left"/>
              <w:rPr>
                <w:rFonts w:hint="eastAsia" w:ascii="宋体" w:hAnsi="宋体" w:eastAsia="宋体" w:cs="宋体"/>
                <w:b w:val="0"/>
                <w:bCs w:val="0"/>
                <w:color w:val="auto"/>
                <w:sz w:val="18"/>
                <w:szCs w:val="18"/>
                <w:highlight w:val="none"/>
                <w:vertAlign w:val="baseline"/>
                <w:lang w:val="en-US" w:eastAsia="zh-CN"/>
              </w:rPr>
            </w:pPr>
          </w:p>
        </w:tc>
        <w:tc>
          <w:tcPr>
            <w:tcW w:w="697"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80"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20"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50"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80"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870"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47"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47"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47"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c>
          <w:tcPr>
            <w:tcW w:w="736" w:type="dxa"/>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运单数</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6"/>
                <w:szCs w:val="16"/>
                <w:highlight w:val="none"/>
                <w:vertAlign w:val="baseline"/>
                <w:lang w:val="en-US" w:eastAsia="zh-CN"/>
              </w:rPr>
            </w:pPr>
            <w:r>
              <w:rPr>
                <w:rFonts w:hint="eastAsia" w:ascii="宋体" w:hAnsi="宋体" w:eastAsia="宋体" w:cs="宋体"/>
                <w:b w:val="0"/>
                <w:bCs w:val="0"/>
                <w:color w:val="auto"/>
                <w:sz w:val="16"/>
                <w:szCs w:val="16"/>
                <w:highlight w:val="none"/>
                <w:vertAlign w:val="baseline"/>
                <w:lang w:val="en-US" w:eastAsia="zh-CN"/>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运单总数</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1350</w:t>
            </w:r>
            <w:r>
              <w:rPr>
                <w:rFonts w:hint="eastAsia" w:ascii="宋体" w:hAnsi="宋体" w:cs="宋体"/>
                <w:b w:val="0"/>
                <w:bCs w:val="0"/>
                <w:color w:val="auto"/>
                <w:sz w:val="18"/>
                <w:szCs w:val="18"/>
                <w:highlight w:val="none"/>
                <w:vertAlign w:val="baseline"/>
                <w:lang w:val="en-US" w:eastAsia="zh-CN"/>
              </w:rPr>
              <w:t>1</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w:t>
            </w:r>
            <w:r>
              <w:rPr>
                <w:rFonts w:hint="eastAsia" w:ascii="宋体" w:hAnsi="宋体" w:cs="宋体"/>
                <w:b w:val="0"/>
                <w:bCs w:val="0"/>
                <w:color w:val="auto"/>
                <w:sz w:val="18"/>
                <w:szCs w:val="18"/>
                <w:highlight w:val="none"/>
                <w:vertAlign w:val="baseline"/>
                <w:lang w:val="en-US" w:eastAsia="zh-CN"/>
              </w:rPr>
              <w:t>4998</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1650</w:t>
            </w:r>
            <w:r>
              <w:rPr>
                <w:rFonts w:hint="eastAsia" w:ascii="宋体" w:hAnsi="宋体" w:cs="宋体"/>
                <w:b w:val="0"/>
                <w:bCs w:val="0"/>
                <w:color w:val="auto"/>
                <w:sz w:val="18"/>
                <w:szCs w:val="18"/>
                <w:highlight w:val="none"/>
                <w:vertAlign w:val="baseline"/>
                <w:lang w:val="en-US" w:eastAsia="zh-CN"/>
              </w:rPr>
              <w:t>3</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w:t>
            </w:r>
            <w:r>
              <w:rPr>
                <w:rFonts w:hint="eastAsia" w:ascii="宋体" w:hAnsi="宋体" w:cs="宋体"/>
                <w:b w:val="0"/>
                <w:bCs w:val="0"/>
                <w:color w:val="auto"/>
                <w:sz w:val="18"/>
                <w:szCs w:val="18"/>
                <w:highlight w:val="none"/>
                <w:vertAlign w:val="baseline"/>
                <w:lang w:val="en-US" w:eastAsia="zh-CN"/>
              </w:rPr>
              <w:t>7997</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23689</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42675</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59368</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87926</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6786</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7957</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收货及时率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13473</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99.8%</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14925</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99.5%</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16401</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99.4%</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17820</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99.0%</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22766</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96</w:t>
            </w:r>
            <w:r>
              <w:rPr>
                <w:rFonts w:hint="eastAsia" w:ascii="宋体" w:hAnsi="宋体" w:cs="宋体"/>
                <w:b w:val="0"/>
                <w:bCs w:val="0"/>
                <w:color w:val="auto"/>
                <w:sz w:val="18"/>
                <w:szCs w:val="18"/>
                <w:highlight w:val="none"/>
                <w:vertAlign w:val="baseline"/>
                <w:lang w:val="en-US" w:eastAsia="zh-CN"/>
              </w:rPr>
              <w:t>.1%</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40712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.4%</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56222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94</w:t>
            </w:r>
            <w:r>
              <w:rPr>
                <w:rFonts w:hint="eastAsia" w:ascii="宋体" w:hAnsi="宋体" w:cs="宋体"/>
                <w:b w:val="0"/>
                <w:bCs w:val="0"/>
                <w:color w:val="auto"/>
                <w:sz w:val="18"/>
                <w:szCs w:val="18"/>
                <w:highlight w:val="none"/>
                <w:vertAlign w:val="baseline"/>
                <w:lang w:val="en-US" w:eastAsia="zh-CN"/>
              </w:rPr>
              <w:t>.7%</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84585</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96</w:t>
            </w:r>
            <w:r>
              <w:rPr>
                <w:rFonts w:hint="eastAsia" w:ascii="宋体" w:hAnsi="宋体" w:cs="宋体"/>
                <w:b w:val="0"/>
                <w:bCs w:val="0"/>
                <w:color w:val="auto"/>
                <w:sz w:val="18"/>
                <w:szCs w:val="18"/>
                <w:highlight w:val="none"/>
                <w:vertAlign w:val="baseline"/>
                <w:lang w:val="en-US" w:eastAsia="zh-CN"/>
              </w:rPr>
              <w:t>.2%</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6752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99.5%</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7893</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收货准确率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13487</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99.9%</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14970</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99.8%</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16450</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17946</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23263</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.2</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41822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58359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.3</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86432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.3</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6779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99.9%</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7949</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交付及时率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13473</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99.8%</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14955</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16434</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99.6%</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17910</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99.5%</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22718</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.9</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40712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.4</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56400</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84321</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.9</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6752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99.5%</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7901</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交付准确率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13487</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99.9%</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14970</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99.8%</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16450</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17928</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99.6%</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23263</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.2</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41822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58300</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.2</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86168</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6779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99.9%</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7949</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货损率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675</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5.0%</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1200</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8.0%</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330</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1.8%</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360</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2.0%</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593</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2</w:t>
            </w:r>
            <w:r>
              <w:rPr>
                <w:rFonts w:hint="eastAsia" w:ascii="宋体" w:hAnsi="宋体" w:cs="宋体"/>
                <w:b w:val="0"/>
                <w:bCs w:val="0"/>
                <w:color w:val="auto"/>
                <w:sz w:val="18"/>
                <w:szCs w:val="18"/>
                <w:highlight w:val="none"/>
                <w:vertAlign w:val="baseline"/>
                <w:lang w:val="en-US" w:eastAsia="zh-CN"/>
              </w:rPr>
              <w:t>.5</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1366</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3</w:t>
            </w:r>
            <w:r>
              <w:rPr>
                <w:rFonts w:hint="eastAsia" w:ascii="宋体" w:hAnsi="宋体" w:cs="宋体"/>
                <w:b w:val="0"/>
                <w:bCs w:val="0"/>
                <w:color w:val="auto"/>
                <w:sz w:val="18"/>
                <w:szCs w:val="18"/>
                <w:highlight w:val="none"/>
                <w:vertAlign w:val="baseline"/>
                <w:lang w:val="en-US" w:eastAsia="zh-CN"/>
              </w:rPr>
              <w:t>.2</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2969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5</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3605</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4</w:t>
            </w:r>
            <w:r>
              <w:rPr>
                <w:rFonts w:hint="eastAsia" w:ascii="宋体" w:hAnsi="宋体" w:cs="宋体"/>
                <w:b w:val="0"/>
                <w:bCs w:val="0"/>
                <w:color w:val="auto"/>
                <w:sz w:val="18"/>
                <w:szCs w:val="18"/>
                <w:highlight w:val="none"/>
                <w:vertAlign w:val="baseline"/>
                <w:lang w:val="en-US" w:eastAsia="zh-CN"/>
              </w:rPr>
              <w:t>.1</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305</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4.5%</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366</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货差率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14</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0.1%</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30</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0.2%</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33</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0.2%</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36</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0.2%</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119</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0.5</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299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0.7</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238</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0.4</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528</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0.6</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14</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lang w:val="en-US" w:eastAsia="zh-CN"/>
              </w:rPr>
              <w:t>0.2</w:t>
            </w:r>
            <w:r>
              <w:rPr>
                <w:rFonts w:hint="eastAsia" w:ascii="宋体" w:hAnsi="宋体" w:eastAsia="宋体" w:cs="宋体"/>
                <w:b w:val="0"/>
                <w:bCs w:val="0"/>
                <w:color w:val="auto"/>
                <w:sz w:val="18"/>
                <w:szCs w:val="18"/>
                <w:highlight w:val="none"/>
              </w:rPr>
              <w:t>%</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80</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lang w:val="en-US" w:eastAsia="zh-CN"/>
              </w:rPr>
              <w:t>1.0</w:t>
            </w:r>
            <w:r>
              <w:rPr>
                <w:rFonts w:hint="eastAsia" w:ascii="宋体" w:hAnsi="宋体" w:eastAsia="宋体" w:cs="宋体"/>
                <w:b w:val="0"/>
                <w:bCs w:val="0"/>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回单及时率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13473</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99.8%</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14925</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99.5%</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16401</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99.4%</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17820</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99.0%</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23381</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.7</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41992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.4</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58715</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.9</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86607</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.5</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6583</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97</w:t>
            </w:r>
            <w:r>
              <w:rPr>
                <w:rFonts w:hint="eastAsia" w:ascii="宋体" w:hAnsi="宋体" w:cs="宋体"/>
                <w:b w:val="0"/>
                <w:bCs w:val="0"/>
                <w:color w:val="auto"/>
                <w:sz w:val="18"/>
                <w:szCs w:val="18"/>
                <w:highlight w:val="none"/>
                <w:lang w:val="en-US" w:eastAsia="zh-CN"/>
              </w:rPr>
              <w:t>.0</w:t>
            </w:r>
            <w:r>
              <w:rPr>
                <w:rFonts w:hint="eastAsia" w:ascii="宋体" w:hAnsi="宋体" w:eastAsia="宋体" w:cs="宋体"/>
                <w:b w:val="0"/>
                <w:bCs w:val="0"/>
                <w:color w:val="auto"/>
                <w:sz w:val="18"/>
                <w:szCs w:val="18"/>
                <w:highlight w:val="none"/>
              </w:rPr>
              <w:t>%</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7798</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98</w:t>
            </w:r>
            <w:r>
              <w:rPr>
                <w:rFonts w:hint="eastAsia" w:ascii="宋体" w:hAnsi="宋体" w:cs="宋体"/>
                <w:b w:val="0"/>
                <w:bCs w:val="0"/>
                <w:color w:val="auto"/>
                <w:sz w:val="18"/>
                <w:szCs w:val="18"/>
                <w:highlight w:val="none"/>
                <w:lang w:val="en-US" w:eastAsia="zh-CN"/>
              </w:rPr>
              <w:t>.0</w:t>
            </w:r>
            <w:r>
              <w:rPr>
                <w:rFonts w:hint="eastAsia" w:ascii="宋体" w:hAnsi="宋体" w:eastAsia="宋体" w:cs="宋体"/>
                <w:b w:val="0"/>
                <w:bCs w:val="0"/>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回单准确率</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13487</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99.9%</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14970</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99.8%</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16450</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17946</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23642</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w:t>
            </w:r>
            <w:r>
              <w:rPr>
                <w:rFonts w:hint="eastAsia" w:ascii="宋体" w:hAnsi="宋体" w:cs="宋体"/>
                <w:b w:val="0"/>
                <w:bCs w:val="0"/>
                <w:color w:val="auto"/>
                <w:sz w:val="18"/>
                <w:szCs w:val="18"/>
                <w:highlight w:val="none"/>
                <w:vertAlign w:val="baseline"/>
                <w:lang w:val="en-US" w:eastAsia="zh-CN"/>
              </w:rPr>
              <w:t>.8</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42504</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w:t>
            </w:r>
            <w:r>
              <w:rPr>
                <w:rFonts w:hint="eastAsia" w:ascii="宋体" w:hAnsi="宋体" w:cs="宋体"/>
                <w:b w:val="0"/>
                <w:bCs w:val="0"/>
                <w:color w:val="auto"/>
                <w:sz w:val="18"/>
                <w:szCs w:val="18"/>
                <w:highlight w:val="none"/>
                <w:vertAlign w:val="baseline"/>
                <w:lang w:val="en-US" w:eastAsia="zh-CN"/>
              </w:rPr>
              <w:t>.6</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59190</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w:t>
            </w:r>
            <w:r>
              <w:rPr>
                <w:rFonts w:hint="eastAsia" w:ascii="宋体" w:hAnsi="宋体" w:cs="宋体"/>
                <w:b w:val="0"/>
                <w:bCs w:val="0"/>
                <w:color w:val="auto"/>
                <w:sz w:val="18"/>
                <w:szCs w:val="18"/>
                <w:highlight w:val="none"/>
                <w:vertAlign w:val="baseline"/>
                <w:lang w:val="en-US" w:eastAsia="zh-CN"/>
              </w:rPr>
              <w:t>.7</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87047</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6779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99.9%</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7949</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安装满意度</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13487</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99.9%</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14985</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99.9%</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16467</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99.8%</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17964</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22694</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.8</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40670</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.3</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56756</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.6</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83530</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95</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6651</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98</w:t>
            </w:r>
            <w:r>
              <w:rPr>
                <w:rFonts w:hint="eastAsia" w:ascii="宋体" w:hAnsi="宋体" w:cs="宋体"/>
                <w:b w:val="0"/>
                <w:bCs w:val="0"/>
                <w:color w:val="auto"/>
                <w:sz w:val="18"/>
                <w:szCs w:val="18"/>
                <w:highlight w:val="none"/>
                <w:lang w:val="en-US" w:eastAsia="zh-CN"/>
              </w:rPr>
              <w:t>.0</w:t>
            </w:r>
            <w:r>
              <w:rPr>
                <w:rFonts w:hint="eastAsia" w:ascii="宋体" w:hAnsi="宋体" w:eastAsia="宋体" w:cs="宋体"/>
                <w:b w:val="0"/>
                <w:bCs w:val="0"/>
                <w:color w:val="auto"/>
                <w:sz w:val="18"/>
                <w:szCs w:val="18"/>
                <w:highlight w:val="none"/>
              </w:rPr>
              <w:t>%</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7719</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97</w:t>
            </w:r>
            <w:r>
              <w:rPr>
                <w:rFonts w:hint="eastAsia" w:ascii="宋体" w:hAnsi="宋体" w:cs="宋体"/>
                <w:b w:val="0"/>
                <w:bCs w:val="0"/>
                <w:color w:val="auto"/>
                <w:sz w:val="18"/>
                <w:szCs w:val="18"/>
                <w:highlight w:val="none"/>
                <w:lang w:val="en-US" w:eastAsia="zh-CN"/>
              </w:rPr>
              <w:t>.0</w:t>
            </w:r>
            <w:r>
              <w:rPr>
                <w:rFonts w:hint="eastAsia" w:ascii="宋体" w:hAnsi="宋体" w:eastAsia="宋体" w:cs="宋体"/>
                <w:b w:val="0"/>
                <w:bCs w:val="0"/>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客户有效投诉</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0</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0</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0</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8</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0.05%</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18</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0.1%</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24</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0.1</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128</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0.3</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119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0.2</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440</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0.5</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lang w:val="en-US" w:eastAsia="zh-CN"/>
              </w:rPr>
              <w:t>0.1%</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0" w:type="dxa"/>
            <w:vAlign w:val="top"/>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客户</w:t>
            </w:r>
            <w:r>
              <w:rPr>
                <w:rFonts w:hint="eastAsia" w:ascii="宋体" w:hAnsi="宋体" w:eastAsia="宋体" w:cs="宋体"/>
                <w:b w:val="0"/>
                <w:bCs w:val="0"/>
                <w:color w:val="auto"/>
                <w:sz w:val="18"/>
                <w:szCs w:val="18"/>
                <w:highlight w:val="none"/>
                <w:vertAlign w:val="baseline"/>
                <w:lang w:val="en-US" w:eastAsia="zh-CN"/>
              </w:rPr>
              <w:t>满意度</w:t>
            </w:r>
          </w:p>
        </w:tc>
        <w:tc>
          <w:tcPr>
            <w:tcW w:w="69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13486</w:t>
            </w:r>
          </w:p>
        </w:tc>
        <w:tc>
          <w:tcPr>
            <w:tcW w:w="70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99.9%</w:t>
            </w:r>
          </w:p>
        </w:tc>
        <w:tc>
          <w:tcPr>
            <w:tcW w:w="78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14970</w:t>
            </w:r>
          </w:p>
        </w:tc>
        <w:tc>
          <w:tcPr>
            <w:tcW w:w="75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99.8%</w:t>
            </w:r>
          </w:p>
        </w:tc>
        <w:tc>
          <w:tcPr>
            <w:tcW w:w="72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16467</w:t>
            </w:r>
          </w:p>
        </w:tc>
        <w:tc>
          <w:tcPr>
            <w:tcW w:w="81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99.8%</w:t>
            </w:r>
          </w:p>
        </w:tc>
        <w:tc>
          <w:tcPr>
            <w:tcW w:w="750"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b w:val="0"/>
                <w:bCs w:val="0"/>
                <w:color w:val="auto"/>
                <w:sz w:val="18"/>
                <w:szCs w:val="18"/>
                <w:highlight w:val="none"/>
                <w:vertAlign w:val="baseline"/>
                <w:lang w:val="en-US" w:eastAsia="zh-CN"/>
              </w:rPr>
              <w:t>17964</w:t>
            </w:r>
          </w:p>
        </w:tc>
        <w:tc>
          <w:tcPr>
            <w:tcW w:w="765"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99.7%</w:t>
            </w:r>
          </w:p>
        </w:tc>
        <w:tc>
          <w:tcPr>
            <w:tcW w:w="78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23239</w:t>
            </w:r>
          </w:p>
        </w:tc>
        <w:tc>
          <w:tcPr>
            <w:tcW w:w="780"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.1</w:t>
            </w:r>
            <w:r>
              <w:rPr>
                <w:rFonts w:hint="eastAsia" w:ascii="宋体" w:hAnsi="宋体" w:eastAsia="宋体" w:cs="宋体"/>
                <w:b w:val="0"/>
                <w:bCs w:val="0"/>
                <w:color w:val="auto"/>
                <w:sz w:val="18"/>
                <w:szCs w:val="18"/>
                <w:highlight w:val="none"/>
                <w:vertAlign w:val="baseline"/>
                <w:lang w:val="en-US" w:eastAsia="zh-CN"/>
              </w:rPr>
              <w:t>%</w:t>
            </w:r>
          </w:p>
        </w:tc>
        <w:tc>
          <w:tcPr>
            <w:tcW w:w="870"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41822</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.0</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58359</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98</w:t>
            </w:r>
            <w:r>
              <w:rPr>
                <w:rFonts w:hint="eastAsia" w:ascii="宋体" w:hAnsi="宋体" w:cs="宋体"/>
                <w:b w:val="0"/>
                <w:bCs w:val="0"/>
                <w:color w:val="auto"/>
                <w:sz w:val="18"/>
                <w:szCs w:val="18"/>
                <w:highlight w:val="none"/>
                <w:vertAlign w:val="baseline"/>
                <w:lang w:val="en-US" w:eastAsia="zh-CN"/>
              </w:rPr>
              <w:t>.3</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86080</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vertAlign w:val="baseline"/>
                <w:lang w:val="en-US" w:eastAsia="zh-CN"/>
              </w:rPr>
              <w:t>9</w:t>
            </w:r>
            <w:r>
              <w:rPr>
                <w:rFonts w:hint="eastAsia" w:ascii="宋体" w:hAnsi="宋体" w:cs="宋体"/>
                <w:b w:val="0"/>
                <w:bCs w:val="0"/>
                <w:color w:val="auto"/>
                <w:sz w:val="18"/>
                <w:szCs w:val="18"/>
                <w:highlight w:val="none"/>
                <w:vertAlign w:val="baseline"/>
                <w:lang w:val="en-US" w:eastAsia="zh-CN"/>
              </w:rPr>
              <w:t>7.9</w:t>
            </w:r>
            <w:r>
              <w:rPr>
                <w:rFonts w:hint="eastAsia" w:ascii="宋体" w:hAnsi="宋体" w:eastAsia="宋体" w:cs="宋体"/>
                <w:b w:val="0"/>
                <w:bCs w:val="0"/>
                <w:color w:val="auto"/>
                <w:sz w:val="18"/>
                <w:szCs w:val="18"/>
                <w:highlight w:val="none"/>
                <w:vertAlign w:val="baseline"/>
                <w:lang w:val="en-US" w:eastAsia="zh-CN"/>
              </w:rPr>
              <w:t>%</w:t>
            </w:r>
          </w:p>
        </w:tc>
        <w:tc>
          <w:tcPr>
            <w:tcW w:w="747"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6515</w:t>
            </w:r>
          </w:p>
        </w:tc>
        <w:tc>
          <w:tcPr>
            <w:tcW w:w="747"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96</w:t>
            </w:r>
            <w:r>
              <w:rPr>
                <w:rFonts w:hint="eastAsia" w:ascii="宋体" w:hAnsi="宋体" w:cs="宋体"/>
                <w:b w:val="0"/>
                <w:bCs w:val="0"/>
                <w:color w:val="auto"/>
                <w:sz w:val="18"/>
                <w:szCs w:val="18"/>
                <w:highlight w:val="none"/>
                <w:lang w:val="en-US" w:eastAsia="zh-CN"/>
              </w:rPr>
              <w:t>.0</w:t>
            </w:r>
            <w:r>
              <w:rPr>
                <w:rFonts w:hint="eastAsia" w:ascii="宋体" w:hAnsi="宋体" w:eastAsia="宋体" w:cs="宋体"/>
                <w:b w:val="0"/>
                <w:bCs w:val="0"/>
                <w:color w:val="auto"/>
                <w:sz w:val="18"/>
                <w:szCs w:val="18"/>
                <w:highlight w:val="none"/>
              </w:rPr>
              <w:t>%</w:t>
            </w:r>
          </w:p>
        </w:tc>
        <w:tc>
          <w:tcPr>
            <w:tcW w:w="736" w:type="dxa"/>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cs="宋体"/>
                <w:b w:val="0"/>
                <w:bCs w:val="0"/>
                <w:color w:val="auto"/>
                <w:sz w:val="18"/>
                <w:szCs w:val="18"/>
                <w:highlight w:val="none"/>
                <w:vertAlign w:val="baseline"/>
                <w:lang w:val="en-US" w:eastAsia="zh-CN"/>
              </w:rPr>
              <w:t>7560</w:t>
            </w:r>
          </w:p>
        </w:tc>
        <w:tc>
          <w:tcPr>
            <w:tcW w:w="734" w:type="dxa"/>
            <w:shd w:val="clear" w:color="auto" w:fill="D7D7D7" w:themeFill="background1" w:themeFillShade="D8"/>
            <w:vAlign w:val="center"/>
          </w:tcPr>
          <w:p>
            <w:pPr>
              <w:jc w:val="center"/>
              <w:rPr>
                <w:rFonts w:hint="eastAsia" w:ascii="宋体" w:hAnsi="宋体" w:eastAsia="宋体" w:cs="宋体"/>
                <w:b w:val="0"/>
                <w:bCs w:val="0"/>
                <w:color w:val="auto"/>
                <w:sz w:val="18"/>
                <w:szCs w:val="18"/>
                <w:highlight w:val="none"/>
                <w:vertAlign w:val="baseline"/>
                <w:lang w:val="en-US" w:eastAsia="zh-CN"/>
              </w:rPr>
            </w:pPr>
            <w:r>
              <w:rPr>
                <w:rFonts w:hint="eastAsia" w:ascii="宋体" w:hAnsi="宋体" w:eastAsia="宋体" w:cs="宋体"/>
                <w:b w:val="0"/>
                <w:bCs w:val="0"/>
                <w:color w:val="auto"/>
                <w:sz w:val="18"/>
                <w:szCs w:val="18"/>
                <w:highlight w:val="none"/>
              </w:rPr>
              <w:t>95</w:t>
            </w:r>
            <w:r>
              <w:rPr>
                <w:rFonts w:hint="eastAsia" w:ascii="宋体" w:hAnsi="宋体" w:cs="宋体"/>
                <w:b w:val="0"/>
                <w:bCs w:val="0"/>
                <w:color w:val="auto"/>
                <w:sz w:val="18"/>
                <w:szCs w:val="18"/>
                <w:highlight w:val="none"/>
                <w:lang w:val="en-US" w:eastAsia="zh-CN"/>
              </w:rPr>
              <w:t>.0</w:t>
            </w:r>
            <w:r>
              <w:rPr>
                <w:rFonts w:hint="eastAsia" w:ascii="宋体" w:hAnsi="宋体" w:eastAsia="宋体" w:cs="宋体"/>
                <w:b w:val="0"/>
                <w:bCs w:val="0"/>
                <w:color w:val="auto"/>
                <w:sz w:val="18"/>
                <w:szCs w:val="18"/>
                <w:highlight w:val="none"/>
              </w:rPr>
              <w:t>%</w:t>
            </w:r>
          </w:p>
        </w:tc>
      </w:tr>
    </w:tbl>
    <w:p>
      <w:pPr>
        <w:spacing w:before="100" w:beforeAutospacing="1" w:after="100" w:afterAutospacing="1" w:line="360" w:lineRule="auto"/>
        <w:ind w:firstLine="480" w:firstLineChars="200"/>
        <w:jc w:val="left"/>
        <w:rPr>
          <w:rFonts w:hint="eastAsia" w:ascii="宋体" w:hAnsi="宋体"/>
          <w:b/>
          <w:color w:val="auto"/>
          <w:kern w:val="0"/>
          <w:sz w:val="24"/>
          <w:highlight w:val="none"/>
          <w:lang w:eastAsia="zh-CN"/>
        </w:rPr>
        <w:sectPr>
          <w:pgSz w:w="16838" w:h="11906" w:orient="landscape"/>
          <w:pgMar w:top="963" w:right="258" w:bottom="1803" w:left="200" w:header="851" w:footer="992" w:gutter="0"/>
          <w:pgNumType w:fmt="decimal"/>
          <w:cols w:space="0" w:num="1"/>
          <w:rtlGutter w:val="0"/>
          <w:docGrid w:type="lines" w:linePitch="319" w:charSpace="0"/>
        </w:sectPr>
      </w:pPr>
      <w:r>
        <w:rPr>
          <w:rFonts w:hint="eastAsia" w:ascii="宋体" w:hAnsi="宋体"/>
          <w:color w:val="auto"/>
          <w:kern w:val="0"/>
          <w:sz w:val="24"/>
          <w:szCs w:val="24"/>
          <w:highlight w:val="none"/>
          <w:lang w:val="en-US" w:eastAsia="zh-CN"/>
        </w:rPr>
        <w:t>从表格数据看，各企业基本都在A、B、C三级的区间范围内,证明附录A家具物流服务质量评价指标参考值可行。</w:t>
      </w:r>
    </w:p>
    <w:p>
      <w:pPr>
        <w:spacing w:before="100" w:beforeAutospacing="1" w:line="360" w:lineRule="auto"/>
        <w:ind w:firstLine="482" w:firstLineChars="200"/>
        <w:jc w:val="left"/>
        <w:rPr>
          <w:rFonts w:hint="eastAsia" w:ascii="宋体" w:hAnsi="宋体"/>
          <w:b/>
          <w:color w:val="auto"/>
          <w:kern w:val="0"/>
          <w:sz w:val="24"/>
          <w:highlight w:val="none"/>
          <w:lang w:val="en-US" w:eastAsia="zh-CN"/>
        </w:rPr>
      </w:pPr>
      <w:r>
        <w:rPr>
          <w:rFonts w:hint="eastAsia" w:ascii="宋体" w:hAnsi="宋体"/>
          <w:b/>
          <w:color w:val="auto"/>
          <w:kern w:val="0"/>
          <w:sz w:val="24"/>
          <w:highlight w:val="none"/>
          <w:lang w:val="en-US" w:eastAsia="zh-CN"/>
        </w:rPr>
        <w:t>5  标准中涉及专利的情况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sz w:val="24"/>
          <w:szCs w:val="24"/>
          <w:highlight w:val="none"/>
        </w:rPr>
      </w:pPr>
      <w:r>
        <w:rPr>
          <w:rFonts w:hint="eastAsia"/>
          <w:color w:val="auto"/>
          <w:sz w:val="24"/>
          <w:szCs w:val="24"/>
          <w:highlight w:val="none"/>
        </w:rPr>
        <w:t>本标准不涉及专利问题。</w:t>
      </w:r>
    </w:p>
    <w:p>
      <w:pPr>
        <w:spacing w:before="100" w:beforeAutospacing="1" w:line="360" w:lineRule="auto"/>
        <w:ind w:firstLine="482" w:firstLineChars="200"/>
        <w:jc w:val="left"/>
        <w:rPr>
          <w:rFonts w:hint="eastAsia" w:ascii="宋体" w:hAnsi="宋体"/>
          <w:b/>
          <w:color w:val="auto"/>
          <w:kern w:val="0"/>
          <w:sz w:val="24"/>
          <w:highlight w:val="none"/>
          <w:lang w:eastAsia="zh-CN"/>
        </w:rPr>
      </w:pPr>
      <w:r>
        <w:rPr>
          <w:rFonts w:hint="eastAsia" w:ascii="宋体" w:hAnsi="宋体"/>
          <w:b/>
          <w:color w:val="auto"/>
          <w:kern w:val="0"/>
          <w:sz w:val="24"/>
          <w:highlight w:val="none"/>
          <w:lang w:val="en-US" w:eastAsia="zh-CN"/>
        </w:rPr>
        <w:t xml:space="preserve">6  </w:t>
      </w:r>
      <w:r>
        <w:rPr>
          <w:rFonts w:hint="eastAsia" w:ascii="宋体" w:hAnsi="宋体"/>
          <w:b/>
          <w:color w:val="auto"/>
          <w:kern w:val="0"/>
          <w:sz w:val="24"/>
          <w:highlight w:val="none"/>
          <w:lang w:eastAsia="zh-CN"/>
        </w:rPr>
        <w:t>预期达到的社会效益、对产业发展的作用等情况</w:t>
      </w:r>
    </w:p>
    <w:p>
      <w:pPr>
        <w:spacing w:line="360" w:lineRule="auto"/>
        <w:ind w:firstLine="480" w:firstLineChars="200"/>
        <w:rPr>
          <w:rFonts w:hint="eastAsia"/>
          <w:color w:val="auto"/>
          <w:sz w:val="24"/>
          <w:highlight w:val="none"/>
        </w:rPr>
      </w:pPr>
      <w:r>
        <w:rPr>
          <w:rFonts w:hint="eastAsia"/>
          <w:color w:val="auto"/>
          <w:sz w:val="24"/>
          <w:highlight w:val="none"/>
          <w:lang w:eastAsia="zh-CN"/>
        </w:rPr>
        <w:t>本标准的制定，</w:t>
      </w:r>
      <w:r>
        <w:rPr>
          <w:rFonts w:hint="eastAsia"/>
          <w:color w:val="auto"/>
          <w:sz w:val="24"/>
          <w:highlight w:val="none"/>
        </w:rPr>
        <w:t>填补我国家具物流标准化领域的空白，</w:t>
      </w:r>
      <w:r>
        <w:rPr>
          <w:rFonts w:hint="eastAsia" w:ascii="ˎ̥" w:hAnsi="ˎ̥"/>
          <w:color w:val="auto"/>
          <w:sz w:val="24"/>
          <w:highlight w:val="none"/>
        </w:rPr>
        <w:t>进一步推进产业结构的优化升级，</w:t>
      </w:r>
      <w:r>
        <w:rPr>
          <w:rFonts w:hint="eastAsia"/>
          <w:color w:val="auto"/>
          <w:sz w:val="24"/>
          <w:highlight w:val="none"/>
          <w:lang w:eastAsia="zh-CN"/>
        </w:rPr>
        <w:t>提高</w:t>
      </w:r>
      <w:r>
        <w:rPr>
          <w:rFonts w:hint="eastAsia"/>
          <w:color w:val="auto"/>
          <w:sz w:val="24"/>
          <w:highlight w:val="none"/>
        </w:rPr>
        <w:t>我国家具物流</w:t>
      </w:r>
      <w:r>
        <w:rPr>
          <w:rFonts w:hint="eastAsia"/>
          <w:color w:val="auto"/>
          <w:sz w:val="24"/>
          <w:highlight w:val="none"/>
          <w:lang w:eastAsia="zh-CN"/>
        </w:rPr>
        <w:t>服务的质量与水平</w:t>
      </w:r>
      <w:r>
        <w:rPr>
          <w:rFonts w:hint="eastAsia"/>
          <w:color w:val="auto"/>
          <w:sz w:val="24"/>
          <w:highlight w:val="none"/>
        </w:rPr>
        <w:t>。《家具物流服务质量规范》的宣贯和应用，将突破我国家具物流产业发展的瓶颈，开启我国家具物流业运作和管理的新局面，促进家具物流产业健康有序发展；并为政府、行业的标准化进程、标准化体系的建设提供参考依据。</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7  </w:t>
      </w:r>
      <w:r>
        <w:rPr>
          <w:rFonts w:hint="eastAsia" w:ascii="宋体" w:hAnsi="宋体"/>
          <w:b/>
          <w:color w:val="auto"/>
          <w:kern w:val="0"/>
          <w:sz w:val="24"/>
          <w:highlight w:val="none"/>
        </w:rPr>
        <w:t>与国际、国外对比情况</w:t>
      </w:r>
    </w:p>
    <w:p>
      <w:pPr>
        <w:spacing w:before="100" w:beforeAutospacing="1" w:line="360" w:lineRule="auto"/>
        <w:ind w:firstLine="480" w:firstLineChars="200"/>
        <w:jc w:val="left"/>
        <w:rPr>
          <w:rFonts w:hint="eastAsia"/>
          <w:color w:val="auto"/>
          <w:sz w:val="24"/>
          <w:highlight w:val="none"/>
        </w:rPr>
      </w:pPr>
      <w:r>
        <w:rPr>
          <w:rFonts w:hint="eastAsia"/>
          <w:color w:val="auto"/>
          <w:sz w:val="24"/>
          <w:highlight w:val="none"/>
        </w:rPr>
        <w:t>本标准没有采用国际标准。</w:t>
      </w:r>
    </w:p>
    <w:p>
      <w:pPr>
        <w:spacing w:line="360" w:lineRule="auto"/>
        <w:ind w:firstLine="480" w:firstLineChars="200"/>
        <w:jc w:val="left"/>
        <w:rPr>
          <w:rFonts w:hint="eastAsia"/>
          <w:color w:val="auto"/>
          <w:sz w:val="24"/>
          <w:highlight w:val="none"/>
        </w:rPr>
      </w:pPr>
      <w:r>
        <w:rPr>
          <w:rFonts w:hint="eastAsia"/>
          <w:color w:val="auto"/>
          <w:sz w:val="24"/>
          <w:highlight w:val="none"/>
        </w:rPr>
        <w:t>本标准制定过程中未查到同类国际、国外标准。</w:t>
      </w:r>
    </w:p>
    <w:p>
      <w:pPr>
        <w:spacing w:line="360" w:lineRule="auto"/>
        <w:ind w:firstLine="480" w:firstLineChars="200"/>
        <w:jc w:val="left"/>
        <w:rPr>
          <w:rFonts w:hint="eastAsia"/>
          <w:color w:val="auto"/>
          <w:sz w:val="24"/>
          <w:highlight w:val="none"/>
        </w:rPr>
      </w:pPr>
      <w:r>
        <w:rPr>
          <w:rFonts w:hint="eastAsia"/>
          <w:color w:val="auto"/>
          <w:sz w:val="24"/>
          <w:highlight w:val="none"/>
        </w:rPr>
        <w:t>本标准水平为国内先进水平。</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8  </w:t>
      </w:r>
      <w:r>
        <w:rPr>
          <w:rFonts w:hint="eastAsia" w:ascii="宋体" w:hAnsi="宋体"/>
          <w:b/>
          <w:color w:val="auto"/>
          <w:kern w:val="0"/>
          <w:sz w:val="24"/>
          <w:highlight w:val="none"/>
        </w:rPr>
        <w:t>标准性质的建议说明</w:t>
      </w:r>
    </w:p>
    <w:p>
      <w:pPr>
        <w:spacing w:before="100" w:beforeAutospacing="1" w:line="360" w:lineRule="auto"/>
        <w:ind w:firstLine="480" w:firstLineChars="200"/>
        <w:jc w:val="left"/>
        <w:rPr>
          <w:rFonts w:hint="eastAsia"/>
          <w:color w:val="auto"/>
          <w:sz w:val="24"/>
          <w:highlight w:val="none"/>
        </w:rPr>
      </w:pPr>
      <w:r>
        <w:rPr>
          <w:rFonts w:hint="eastAsia"/>
          <w:color w:val="auto"/>
          <w:sz w:val="24"/>
          <w:highlight w:val="none"/>
        </w:rPr>
        <w:t>建议本标准的性质为推荐性行业标准。</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9  </w:t>
      </w:r>
      <w:r>
        <w:rPr>
          <w:rFonts w:hint="eastAsia" w:ascii="宋体" w:hAnsi="宋体"/>
          <w:b/>
          <w:color w:val="auto"/>
          <w:kern w:val="0"/>
          <w:sz w:val="24"/>
          <w:highlight w:val="none"/>
        </w:rPr>
        <w:t>贯彻标准的要求和措施建议</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480" w:firstLineChars="200"/>
        <w:jc w:val="left"/>
        <w:textAlignment w:val="auto"/>
        <w:outlineLvl w:val="9"/>
        <w:rPr>
          <w:rFonts w:hint="eastAsia"/>
          <w:color w:val="auto"/>
          <w:sz w:val="24"/>
          <w:highlight w:val="none"/>
        </w:rPr>
      </w:pPr>
      <w:r>
        <w:rPr>
          <w:rFonts w:hint="eastAsia"/>
          <w:color w:val="auto"/>
          <w:sz w:val="24"/>
          <w:highlight w:val="none"/>
        </w:rPr>
        <w:t>建议本标准批准发布6个月后实施。</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480" w:firstLineChars="200"/>
        <w:jc w:val="left"/>
        <w:textAlignment w:val="auto"/>
        <w:outlineLvl w:val="9"/>
        <w:rPr>
          <w:rFonts w:hint="eastAsia"/>
          <w:color w:val="auto"/>
          <w:sz w:val="24"/>
          <w:highlight w:val="none"/>
        </w:rPr>
      </w:pPr>
      <w:r>
        <w:rPr>
          <w:rFonts w:hint="eastAsia"/>
          <w:color w:val="auto"/>
          <w:sz w:val="24"/>
          <w:highlight w:val="none"/>
        </w:rPr>
        <w:t>建议本标准由全国物流标准化技术委员会组织宣贯实施，企业可按照行业标准的规定和要求对企业内部标准进行修订，或根据行业标准实施时间要求拟订企标整改过渡措施。</w:t>
      </w:r>
    </w:p>
    <w:p>
      <w:pPr>
        <w:spacing w:before="100" w:beforeAutospacing="1" w:line="360" w:lineRule="auto"/>
        <w:ind w:firstLine="482" w:firstLineChars="200"/>
        <w:jc w:val="left"/>
        <w:rPr>
          <w:rFonts w:hint="eastAsia" w:ascii="宋体" w:hAnsi="宋体"/>
          <w:b/>
          <w:color w:val="auto"/>
          <w:kern w:val="0"/>
          <w:sz w:val="24"/>
          <w:highlight w:val="none"/>
        </w:rPr>
      </w:pPr>
      <w:r>
        <w:rPr>
          <w:rFonts w:hint="eastAsia" w:ascii="宋体" w:hAnsi="宋体"/>
          <w:b/>
          <w:color w:val="auto"/>
          <w:kern w:val="0"/>
          <w:sz w:val="24"/>
          <w:highlight w:val="none"/>
          <w:lang w:val="en-US" w:eastAsia="zh-CN"/>
        </w:rPr>
        <w:t xml:space="preserve">10  </w:t>
      </w:r>
      <w:r>
        <w:rPr>
          <w:rFonts w:hint="eastAsia" w:ascii="宋体" w:hAnsi="宋体"/>
          <w:b/>
          <w:color w:val="auto"/>
          <w:kern w:val="0"/>
          <w:sz w:val="24"/>
          <w:highlight w:val="none"/>
        </w:rPr>
        <w:t>其他应予说明的事项</w:t>
      </w:r>
    </w:p>
    <w:p>
      <w:pPr>
        <w:spacing w:before="100" w:beforeAutospacing="1" w:line="360" w:lineRule="auto"/>
        <w:ind w:firstLine="480" w:firstLineChars="200"/>
        <w:jc w:val="left"/>
        <w:rPr>
          <w:rFonts w:hint="eastAsia"/>
          <w:color w:val="auto"/>
          <w:sz w:val="24"/>
          <w:highlight w:val="none"/>
          <w:lang w:val="en-US" w:eastAsia="zh-CN"/>
        </w:rPr>
      </w:pPr>
      <w:r>
        <w:rPr>
          <w:rFonts w:hint="eastAsia"/>
          <w:color w:val="auto"/>
          <w:sz w:val="24"/>
          <w:highlight w:val="none"/>
          <w:lang w:val="en-US" w:eastAsia="zh-CN"/>
        </w:rPr>
        <w:t>无。</w:t>
      </w:r>
    </w:p>
    <w:p>
      <w:pPr>
        <w:spacing w:before="100" w:beforeAutospacing="1" w:line="360" w:lineRule="auto"/>
        <w:ind w:firstLine="480" w:firstLineChars="200"/>
        <w:jc w:val="left"/>
        <w:rPr>
          <w:rFonts w:hint="eastAsia"/>
          <w:color w:val="auto"/>
          <w:sz w:val="24"/>
          <w:highlight w:val="none"/>
          <w:lang w:val="en-US" w:eastAsia="zh-CN"/>
        </w:rPr>
      </w:pPr>
    </w:p>
    <w:p>
      <w:pPr>
        <w:spacing w:line="360" w:lineRule="auto"/>
        <w:jc w:val="right"/>
        <w:rPr>
          <w:rFonts w:hint="eastAsia"/>
          <w:b/>
          <w:bCs/>
          <w:color w:val="auto"/>
          <w:sz w:val="24"/>
          <w:szCs w:val="24"/>
          <w:highlight w:val="none"/>
          <w:lang w:val="en-US" w:eastAsia="zh-CN"/>
        </w:rPr>
      </w:pPr>
      <w:r>
        <w:rPr>
          <w:rFonts w:hint="eastAsia"/>
          <w:b/>
          <w:bCs/>
          <w:color w:val="auto"/>
          <w:sz w:val="24"/>
          <w:szCs w:val="24"/>
          <w:highlight w:val="none"/>
          <w:lang w:val="en-US" w:eastAsia="zh-CN"/>
        </w:rPr>
        <w:t>《家具物流服务质量规范》标准起草小组</w:t>
      </w:r>
    </w:p>
    <w:p>
      <w:pPr>
        <w:spacing w:line="360" w:lineRule="auto"/>
        <w:jc w:val="right"/>
        <w:rPr>
          <w:rFonts w:hint="eastAsia"/>
          <w:b/>
          <w:bCs/>
          <w:color w:val="auto"/>
          <w:sz w:val="24"/>
          <w:szCs w:val="24"/>
          <w:highlight w:val="none"/>
          <w:lang w:val="en-US" w:eastAsia="zh-CN"/>
        </w:rPr>
      </w:pPr>
      <w:r>
        <w:rPr>
          <w:rFonts w:hint="eastAsia"/>
          <w:b/>
          <w:bCs/>
          <w:color w:val="auto"/>
          <w:sz w:val="24"/>
          <w:szCs w:val="24"/>
          <w:highlight w:val="none"/>
          <w:lang w:val="en-US" w:eastAsia="zh-CN"/>
        </w:rPr>
        <w:t>二〇一七年八月</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1"/>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行楷">
    <w:altName w:val="宋体"/>
    <w:panose1 w:val="02010800040101010101"/>
    <w:charset w:val="86"/>
    <w:family w:val="auto"/>
    <w:pitch w:val="default"/>
    <w:sig w:usb0="00000000" w:usb1="00000000" w:usb2="00000010" w:usb3="00000000" w:csb0="00040000" w:csb1="00000000"/>
  </w:font>
  <w:font w:name="Blackadder ITC">
    <w:altName w:val="Courier New"/>
    <w:panose1 w:val="04020505051007020D02"/>
    <w:charset w:val="00"/>
    <w:family w:val="decorative"/>
    <w:pitch w:val="default"/>
    <w:sig w:usb0="00000000" w:usb1="00000000" w:usb2="00000000" w:usb3="00000000" w:csb0="00000001" w:csb1="00000000"/>
  </w:font>
  <w:font w:name="方正舒体">
    <w:altName w:val="宋体"/>
    <w:panose1 w:val="02010601030101010101"/>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大黑简体">
    <w:altName w:val="宋体"/>
    <w:panose1 w:val="02010601030101010101"/>
    <w:charset w:val="86"/>
    <w:family w:val="auto"/>
    <w:pitch w:val="default"/>
    <w:sig w:usb0="00000000" w:usb1="00000000" w:usb2="0000001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微软雅黑 Light">
    <w:panose1 w:val="020B0502040204020203"/>
    <w:charset w:val="86"/>
    <w:family w:val="auto"/>
    <w:pitch w:val="default"/>
    <w:sig w:usb0="80000287" w:usb1="28CF0010" w:usb2="00000016" w:usb3="00000000" w:csb0="0004001F" w:csb1="00000000"/>
  </w:font>
  <w:font w:name="微软雅黑">
    <w:panose1 w:val="020B0503020204020204"/>
    <w:charset w:val="86"/>
    <w:family w:val="auto"/>
    <w:pitch w:val="default"/>
    <w:sig w:usb0="80000287" w:usb1="28CF3C50" w:usb2="00000016" w:usb3="00000000" w:csb0="0004001F" w:csb1="00000000"/>
  </w:font>
  <w:font w:name="Gabriola">
    <w:panose1 w:val="04040605051002020D02"/>
    <w:charset w:val="00"/>
    <w:family w:val="auto"/>
    <w:pitch w:val="default"/>
    <w:sig w:usb0="E00002EF" w:usb1="5000204B" w:usb2="00000000" w:usb3="00000000" w:csb0="2000009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ź�">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Calibri Light">
    <w:panose1 w:val="020F0302020204030204"/>
    <w:charset w:val="00"/>
    <w:family w:val="auto"/>
    <w:pitch w:val="default"/>
    <w:sig w:usb0="E0002A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script"/>
    <w:pitch w:val="default"/>
    <w:sig w:usb0="00000000" w:usb1="00000000" w:usb2="00000010" w:usb3="00000000" w:csb0="00040000" w:csb1="00000000"/>
  </w:font>
  <w:font w:name="MS Mincho">
    <w:altName w:val="MS UI Gothic"/>
    <w:panose1 w:val="02020609040205080304"/>
    <w:charset w:val="80"/>
    <w:family w:val="roma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方正兰亭超细黑简体">
    <w:altName w:val="黑体"/>
    <w:panose1 w:val="02000000000000000000"/>
    <w:charset w:val="86"/>
    <w:family w:val="auto"/>
    <w:pitch w:val="default"/>
    <w:sig w:usb0="00000000" w:usb1="00000000" w:usb2="0000000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瀹嬩綋">
    <w:altName w:val="Courier New"/>
    <w:panose1 w:val="00000000000000000000"/>
    <w:charset w:val="00"/>
    <w:family w:val="auto"/>
    <w:pitch w:val="default"/>
    <w:sig w:usb0="00000000" w:usb1="00000000" w:usb2="00000000" w:usb3="00000000" w:csb0="00000000" w:csb1="00000000"/>
  </w:font>
  <w:font w:name="方正大标宋简体">
    <w:altName w:val="宋体"/>
    <w:panose1 w:val="03000509000000000000"/>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Microsoft JhengHei Light">
    <w:panose1 w:val="020B0304030504040204"/>
    <w:charset w:val="88"/>
    <w:family w:val="auto"/>
    <w:pitch w:val="default"/>
    <w:sig w:usb0="800002A7" w:usb1="28CF4400" w:usb2="00000016" w:usb3="00000000" w:csb0="00100009" w:csb1="00000000"/>
  </w:font>
  <w:font w:name="文鼎小标宋简">
    <w:altName w:val="宋体"/>
    <w:panose1 w:val="0201060901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宋体-18030">
    <w:altName w:val="宋体"/>
    <w:panose1 w:val="02010609060101010101"/>
    <w:charset w:val="86"/>
    <w:family w:val="modern"/>
    <w:pitch w:val="default"/>
    <w:sig w:usb0="00000000" w:usb1="00000000" w:usb2="000A005E" w:usb3="00000000" w:csb0="00040001" w:csb1="00000000"/>
  </w:font>
  <w:font w:name="\5B8B体">
    <w:altName w:val="Courier New"/>
    <w:panose1 w:val="00000000000000000000"/>
    <w:charset w:val="00"/>
    <w:family w:val="auto"/>
    <w:pitch w:val="default"/>
    <w:sig w:usb0="00000000" w:usb1="00000000" w:usb2="00000000" w:usb3="00000000" w:csb0="00000000" w:csb1="00000000"/>
  </w:font>
  <w:font w:name="Malgun Gothic Semilight">
    <w:panose1 w:val="020B0502040204020203"/>
    <w:charset w:val="86"/>
    <w:family w:val="auto"/>
    <w:pitch w:val="default"/>
    <w:sig w:usb0="900002AF" w:usb1="01D77CFB" w:usb2="00000012" w:usb3="00000000" w:csb0="203E01BD" w:csb1="D7FF0000"/>
  </w:font>
  <w:font w:name="等线 Light">
    <w:panose1 w:val="02010600030101010101"/>
    <w:charset w:val="86"/>
    <w:family w:val="auto"/>
    <w:pitch w:val="default"/>
    <w:sig w:usb0="A00002BF" w:usb1="38CF7CFA" w:usb2="00000016" w:usb3="00000000" w:csb0="0004000F" w:csb1="00000000"/>
  </w:font>
  <w:font w:name="Microsoft JhengHe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8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仿宋_GB2312-WinCharSetFFFF-H">
    <w:altName w:val="仿宋"/>
    <w:panose1 w:val="00000000000000000000"/>
    <w:charset w:val="86"/>
    <w:family w:val="auto"/>
    <w:pitch w:val="default"/>
    <w:sig w:usb0="00000000" w:usb1="00000000" w:usb2="00000000" w:usb3="00000000" w:csb0="00040000" w:csb1="0000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MS UI Gothic">
    <w:panose1 w:val="020B0600070205080204"/>
    <w:charset w:val="80"/>
    <w:family w:val="auto"/>
    <w:pitch w:val="default"/>
    <w:sig w:usb0="E00002FF" w:usb1="6AC7FDFB" w:usb2="08000012" w:usb3="00000000" w:csb0="4002009F" w:csb1="DFD70000"/>
  </w:font>
  <w:font w:name="PMingLiU">
    <w:altName w:val="PMingLiU-ExtB"/>
    <w:panose1 w:val="02020300000000000000"/>
    <w:charset w:val="88"/>
    <w:family w:val="auto"/>
    <w:pitch w:val="default"/>
    <w:sig w:usb0="00000000" w:usb1="00000000" w:usb2="00000016" w:usb3="00000000" w:csb0="00100001" w:csb1="00000000"/>
  </w:font>
  <w:font w:name="Segoe UI Symbol">
    <w:panose1 w:val="020B0502040204020203"/>
    <w:charset w:val="00"/>
    <w:family w:val="swiss"/>
    <w:pitch w:val="default"/>
    <w:sig w:usb0="800001E3" w:usb1="1200FFEF" w:usb2="00040000" w:usb3="04000000" w:csb0="00000001" w:csb1="40000000"/>
  </w:font>
  <w:font w:name="ArialUnicodeMS">
    <w:altName w:val="宋体"/>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003F01F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985ED00"/>
    <w:multiLevelType w:val="singleLevel"/>
    <w:tmpl w:val="5985ED00"/>
    <w:lvl w:ilvl="0" w:tentative="0">
      <w:start w:val="8"/>
      <w:numFmt w:val="chineseCounting"/>
      <w:suff w:val="nothing"/>
      <w:lvlText w:val="（%1）"/>
      <w:lvlJc w:val="left"/>
    </w:lvl>
  </w:abstractNum>
  <w:abstractNum w:abstractNumId="2">
    <w:nsid w:val="646260FA"/>
    <w:multiLevelType w:val="multilevel"/>
    <w:tmpl w:val="646260FA"/>
    <w:lvl w:ilvl="0" w:tentative="0">
      <w:start w:val="1"/>
      <w:numFmt w:val="decimal"/>
      <w:pStyle w:val="1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243B0"/>
    <w:rsid w:val="00A95B7C"/>
    <w:rsid w:val="022F1045"/>
    <w:rsid w:val="039A48AE"/>
    <w:rsid w:val="04202AF3"/>
    <w:rsid w:val="04D365D8"/>
    <w:rsid w:val="09751A76"/>
    <w:rsid w:val="099F39B3"/>
    <w:rsid w:val="09D075C2"/>
    <w:rsid w:val="16AE6679"/>
    <w:rsid w:val="19074E95"/>
    <w:rsid w:val="1B05276A"/>
    <w:rsid w:val="1CCF5749"/>
    <w:rsid w:val="1D70579B"/>
    <w:rsid w:val="2024447F"/>
    <w:rsid w:val="20A06F77"/>
    <w:rsid w:val="2452389D"/>
    <w:rsid w:val="247727FB"/>
    <w:rsid w:val="28332435"/>
    <w:rsid w:val="28694AFF"/>
    <w:rsid w:val="291C7205"/>
    <w:rsid w:val="2A916B65"/>
    <w:rsid w:val="2D2332E4"/>
    <w:rsid w:val="2DAD0161"/>
    <w:rsid w:val="306B3AA6"/>
    <w:rsid w:val="31FE43A6"/>
    <w:rsid w:val="32FE0967"/>
    <w:rsid w:val="34D3345A"/>
    <w:rsid w:val="385C554B"/>
    <w:rsid w:val="390F6F31"/>
    <w:rsid w:val="394A11CD"/>
    <w:rsid w:val="39F0308F"/>
    <w:rsid w:val="3B873B92"/>
    <w:rsid w:val="3DEF11FD"/>
    <w:rsid w:val="3E07043A"/>
    <w:rsid w:val="3FE50700"/>
    <w:rsid w:val="44005940"/>
    <w:rsid w:val="47047E54"/>
    <w:rsid w:val="47C84D05"/>
    <w:rsid w:val="49DE2327"/>
    <w:rsid w:val="4AA74426"/>
    <w:rsid w:val="4C380957"/>
    <w:rsid w:val="4E184244"/>
    <w:rsid w:val="4E557BB6"/>
    <w:rsid w:val="50EB02DB"/>
    <w:rsid w:val="540109A8"/>
    <w:rsid w:val="5419757D"/>
    <w:rsid w:val="5555288F"/>
    <w:rsid w:val="55EB222D"/>
    <w:rsid w:val="57BB2908"/>
    <w:rsid w:val="5881430F"/>
    <w:rsid w:val="5C401AA5"/>
    <w:rsid w:val="5DA1205E"/>
    <w:rsid w:val="5E633AAE"/>
    <w:rsid w:val="5F8A39CE"/>
    <w:rsid w:val="601871C0"/>
    <w:rsid w:val="614E26E1"/>
    <w:rsid w:val="61E33553"/>
    <w:rsid w:val="623D3FC1"/>
    <w:rsid w:val="633D5759"/>
    <w:rsid w:val="649E15FF"/>
    <w:rsid w:val="652705A9"/>
    <w:rsid w:val="65434500"/>
    <w:rsid w:val="66056B0B"/>
    <w:rsid w:val="66223004"/>
    <w:rsid w:val="682B4EBD"/>
    <w:rsid w:val="69682F13"/>
    <w:rsid w:val="6A8D55F2"/>
    <w:rsid w:val="6B2C0570"/>
    <w:rsid w:val="6BFD3529"/>
    <w:rsid w:val="6D4606EA"/>
    <w:rsid w:val="6EE7696F"/>
    <w:rsid w:val="6F2271CE"/>
    <w:rsid w:val="708522C7"/>
    <w:rsid w:val="72A577C9"/>
    <w:rsid w:val="76D20CAF"/>
    <w:rsid w:val="7A8D18B1"/>
    <w:rsid w:val="7B496BEC"/>
    <w:rsid w:val="7BE65CC0"/>
    <w:rsid w:val="7C080517"/>
    <w:rsid w:val="7C6243B0"/>
    <w:rsid w:val="7D4C3744"/>
    <w:rsid w:val="7E421236"/>
    <w:rsid w:val="7E4860CD"/>
    <w:rsid w:val="7E6C54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auto"/>
      <w:ind w:firstLine="480" w:firstLineChars="200"/>
    </w:pPr>
    <w:rPr>
      <w:rFonts w:ascii="宋体" w:hAnsi="宋体"/>
      <w:sz w:val="24"/>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9">
    <w:name w:val="二级条标题"/>
    <w:basedOn w:val="10"/>
    <w:next w:val="8"/>
    <w:qFormat/>
    <w:uiPriority w:val="0"/>
    <w:pPr>
      <w:numPr>
        <w:ilvl w:val="2"/>
        <w:numId w:val="1"/>
      </w:numPr>
      <w:spacing w:before="50" w:after="50"/>
      <w:outlineLvl w:val="3"/>
    </w:pPr>
  </w:style>
  <w:style w:type="paragraph" w:customStyle="1" w:styleId="10">
    <w:name w:val="一级条标题"/>
    <w:next w:val="8"/>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1">
    <w:name w:val="正文表标题"/>
    <w:next w:val="8"/>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2017-06-07T03:26:00Z</dcterms:created>
  <dc:creator>陈江泞</dc:creator>
  <cp:lastModifiedBy>HP</cp:lastModifiedBy>
  <dcterms:modified xsi:type="dcterms:W3CDTF">2017-08-24T02:20:17Z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